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7DE5" w:rsidP="009C7D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MSL974031 Prepare, standardise and use solutions</w:t>
      </w:r>
      <w:r>
        <w:fldChar w:fldCharType="end"/>
      </w:r>
    </w:p>
    <w:p w:rsidR="009C7DE5" w:rsidP="009C7DE5">
      <w:pPr>
        <w:pStyle w:val="Version"/>
        <w:sectPr w:rsidSect="00E278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7850" w:rsidP="00E27850">
      <w:pPr>
        <w:pStyle w:val="SuperHeading"/>
      </w:pPr>
      <w:r w:rsidRPr="00E27850">
        <w:t>MSL974031 Prepare, standardise and use solutions</w:t>
      </w:r>
    </w:p>
    <w:p w:rsidR="00000000" w:rsidRPr="00E27850" w:rsidP="00E27850">
      <w:pPr>
        <w:pStyle w:val="Heading1"/>
      </w:pPr>
      <w:bookmarkStart w:id="1" w:name="O_1257707"/>
      <w:bookmarkEnd w:id="1"/>
      <w:r w:rsidRPr="00E27850">
        <w:t>Modification History</w:t>
      </w:r>
    </w:p>
    <w:p w:rsidR="009C7DE5" w:rsidP="009C7DE5">
      <w:pPr>
        <w:pStyle w:val="BodyText"/>
      </w:pPr>
      <w:r w:rsidRPr="00E27850">
        <w:t>Release 1. Supersedes and equivalent to MSL974017 Prepare, standardise and use solutions. Changes to Performance Criteria to remove requirements in relation to primary and secondary standards and indicators, equivalence points</w:t>
      </w:r>
      <w:r w:rsidRPr="00E27850">
        <w:t xml:space="preserve"> using indicators and graphical methods. Graphical methods removed from Foundation Skills. Superfluous terminology item removed from Knowledge Evidence and detail reduced in Assessment Conditions.</w:t>
      </w:r>
    </w:p>
    <w:p w:rsidR="00000000" w:rsidRPr="00E27850" w:rsidP="00E27850">
      <w:pPr>
        <w:pStyle w:val="Heading1"/>
      </w:pPr>
      <w:bookmarkStart w:id="2" w:name="O_1257708"/>
      <w:bookmarkEnd w:id="2"/>
      <w:r w:rsidRPr="00E27850">
        <w:t>Application</w:t>
      </w:r>
    </w:p>
    <w:p w:rsidR="00000000" w:rsidRPr="00E27850" w:rsidP="009C7DE5">
      <w:pPr>
        <w:pStyle w:val="BodyText"/>
      </w:pPr>
      <w:r w:rsidRPr="00E27850">
        <w:t>This unit of competency des</w:t>
      </w:r>
      <w:r w:rsidRPr="00E27850">
        <w:t>cribes the skills and knowledge to prepare, standardise and monitor the quality of solutions.</w:t>
      </w:r>
    </w:p>
    <w:p w:rsidR="00000000" w:rsidRPr="00E27850" w:rsidP="009C7DE5">
      <w:pPr>
        <w:pStyle w:val="BodyText"/>
      </w:pPr>
      <w:r w:rsidRPr="00E27850">
        <w:t>This unit of competency applies to laboratory technicians working in all industry sectors.</w:t>
      </w:r>
    </w:p>
    <w:p w:rsidR="009C7DE5" w:rsidP="009C7DE5">
      <w:pPr>
        <w:pStyle w:val="BodyText"/>
      </w:pPr>
      <w:r w:rsidRPr="00E27850">
        <w:t>No licensing or certification requirements exist at the time of publica</w:t>
      </w:r>
      <w:r w:rsidRPr="00E27850">
        <w:t>tion. However, regulations and/or external accreditation requirements for laboratory operations exist, so local requirements should be checked. Relevant legislation, industry standards and codes of practice within Australia must also be applied.</w:t>
      </w:r>
    </w:p>
    <w:p w:rsidR="00000000" w:rsidRPr="00E27850" w:rsidP="00E27850">
      <w:pPr>
        <w:pStyle w:val="Heading1"/>
      </w:pPr>
      <w:bookmarkStart w:id="3" w:name="O_1257709"/>
      <w:bookmarkEnd w:id="3"/>
      <w:r w:rsidRPr="00E27850">
        <w:t>Pre-requisite Unit</w:t>
      </w:r>
    </w:p>
    <w:p w:rsidR="00000000" w:rsidRPr="00E27850" w:rsidP="009C7DE5">
      <w:pPr>
        <w:pStyle w:val="BodyText"/>
      </w:pPr>
      <w:r w:rsidRPr="00E27850">
        <w:t>Nil.</w:t>
      </w:r>
    </w:p>
    <w:p w:rsidR="00000000" w:rsidRPr="00E27850" w:rsidP="00E27850">
      <w:pPr>
        <w:pStyle w:val="Heading1"/>
      </w:pPr>
      <w:bookmarkStart w:id="4" w:name="O_1257710"/>
      <w:bookmarkEnd w:id="4"/>
      <w:r w:rsidRPr="00E27850">
        <w:t>Competency Field</w:t>
      </w:r>
    </w:p>
    <w:p w:rsidR="009C7DE5" w:rsidP="009C7DE5">
      <w:pPr>
        <w:pStyle w:val="BodyText"/>
      </w:pPr>
      <w:r w:rsidRPr="00E27850">
        <w:t>Testing</w:t>
      </w:r>
    </w:p>
    <w:p w:rsidR="00000000" w:rsidRPr="00E27850" w:rsidP="00E27850">
      <w:pPr>
        <w:pStyle w:val="Heading1"/>
      </w:pPr>
      <w:bookmarkStart w:id="5" w:name="O_1257712"/>
      <w:bookmarkEnd w:id="5"/>
      <w:r w:rsidRPr="00E27850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9C7DE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850" w:rsidP="00E27850">
            <w:pPr>
              <w:pStyle w:val="BodyText"/>
            </w:pPr>
            <w:r w:rsidRPr="00E27850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850">
            <w:pPr>
              <w:pStyle w:val="BodyText"/>
              <w:rPr>
                <w:lang w:val="en-NZ"/>
              </w:rPr>
            </w:pPr>
            <w:r w:rsidRPr="00E27850">
              <w:rPr>
                <w:rStyle w:val="SpecialBold"/>
              </w:rPr>
              <w:t>Performance Criteria</w:t>
            </w:r>
          </w:p>
        </w:tc>
      </w:tr>
      <w:tr w:rsidTr="009C7DE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850">
            <w:pPr>
              <w:pStyle w:val="BodyText"/>
              <w:rPr>
                <w:lang w:val="en-NZ"/>
              </w:rPr>
            </w:pPr>
            <w:r w:rsidRPr="00E27850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850">
            <w:pPr>
              <w:pStyle w:val="BodyText"/>
              <w:rPr>
                <w:lang w:val="en-NZ"/>
              </w:rPr>
            </w:pPr>
            <w:r w:rsidRPr="00E27850">
              <w:t>Performance criteria describe the performance needed to demonstrate achievement of the element.</w:t>
            </w:r>
          </w:p>
        </w:tc>
      </w:tr>
      <w:tr w:rsidTr="009C7DE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850">
            <w:pPr>
              <w:pStyle w:val="BodyText"/>
              <w:rPr>
                <w:lang w:val="en-NZ"/>
              </w:rPr>
            </w:pPr>
            <w:r w:rsidRPr="00E27850">
              <w:t>1. Prepare solutions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850" w:rsidP="00E27850">
            <w:pPr>
              <w:pStyle w:val="BodyText"/>
            </w:pPr>
            <w:r w:rsidRPr="00E27850">
              <w:t>1.1 Select appropriate procedure for solution preparation</w:t>
            </w:r>
          </w:p>
          <w:p w:rsidR="00000000" w:rsidRPr="00E27850" w:rsidP="00E27850">
            <w:pPr>
              <w:pStyle w:val="BodyText"/>
            </w:pPr>
            <w:r w:rsidRPr="00E27850">
              <w:t>1.2 Select equipment, materials and solvent of specified purity</w:t>
            </w:r>
          </w:p>
          <w:p w:rsidR="00000000" w:rsidRPr="00E27850" w:rsidP="00E27850">
            <w:pPr>
              <w:pStyle w:val="BodyText"/>
            </w:pPr>
            <w:r w:rsidRPr="00E27850">
              <w:t>1.3 Measure appr</w:t>
            </w:r>
            <w:r w:rsidRPr="00E27850">
              <w:t>opriate quantities of reagents for solution preparation and record data</w:t>
            </w:r>
          </w:p>
          <w:p w:rsidR="00000000" w:rsidRPr="00E27850" w:rsidP="00E27850">
            <w:pPr>
              <w:pStyle w:val="BodyText"/>
            </w:pPr>
            <w:r w:rsidRPr="00E27850">
              <w:t>1.4 Select and assemble specified laboratory equipment and appropriate grade of glassware</w:t>
            </w:r>
          </w:p>
          <w:p w:rsidR="00000000" w:rsidRPr="00E27850" w:rsidP="00E27850">
            <w:pPr>
              <w:pStyle w:val="BodyText"/>
            </w:pPr>
            <w:r w:rsidRPr="00E27850">
              <w:t>1.5 Perform specified dilutions</w:t>
            </w:r>
          </w:p>
          <w:p w:rsidR="00000000" w:rsidRPr="00E27850" w:rsidP="00E27850">
            <w:pPr>
              <w:pStyle w:val="BodyText"/>
            </w:pPr>
            <w:r w:rsidRPr="00E27850">
              <w:t>1.6 Prepare solutions to achieve homogeneous mix of the specif</w:t>
            </w:r>
            <w:r w:rsidRPr="00E27850">
              <w:t>ied concentration</w:t>
            </w:r>
          </w:p>
          <w:p w:rsidR="00000000" w:rsidP="00E27850">
            <w:pPr>
              <w:pStyle w:val="BodyText"/>
              <w:rPr>
                <w:lang w:val="en-NZ"/>
              </w:rPr>
            </w:pPr>
            <w:r w:rsidRPr="00E27850">
              <w:t>1.7 Label and store solutions to maintain identity and stability</w:t>
            </w:r>
          </w:p>
        </w:tc>
      </w:tr>
      <w:tr w:rsidTr="009C7DE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850">
            <w:pPr>
              <w:pStyle w:val="BodyText"/>
              <w:rPr>
                <w:lang w:val="en-NZ"/>
              </w:rPr>
            </w:pPr>
            <w:r w:rsidRPr="00E27850">
              <w:t>2. Standardise and use volumetric solutions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850" w:rsidP="00E27850">
            <w:pPr>
              <w:pStyle w:val="BodyText"/>
            </w:pPr>
            <w:r w:rsidRPr="00E27850">
              <w:t>2.1 Assemble appropriate laboratory equipment</w:t>
            </w:r>
          </w:p>
          <w:p w:rsidR="00000000" w:rsidRPr="00E27850" w:rsidP="00E27850">
            <w:pPr>
              <w:pStyle w:val="BodyText"/>
            </w:pPr>
            <w:r w:rsidRPr="00E27850">
              <w:t>2.2 Standardise the solution to the required specified range and precision</w:t>
            </w:r>
          </w:p>
          <w:p w:rsidR="00000000" w:rsidRPr="00E27850" w:rsidP="00E27850">
            <w:pPr>
              <w:pStyle w:val="BodyText"/>
            </w:pPr>
            <w:r w:rsidRPr="00E27850">
              <w:t>2.3 Label and store solutions to maintain identity and stability</w:t>
            </w:r>
          </w:p>
          <w:p w:rsidR="00000000" w:rsidP="00E27850">
            <w:pPr>
              <w:pStyle w:val="BodyText"/>
              <w:rPr>
                <w:lang w:val="en-NZ"/>
              </w:rPr>
            </w:pPr>
            <w:r w:rsidRPr="00E27850">
              <w:t xml:space="preserve">2.4 Use standard volumetric solutions to determine concentration of unknown solutions </w:t>
            </w:r>
          </w:p>
        </w:tc>
      </w:tr>
      <w:tr w:rsidTr="009C7DE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850">
            <w:pPr>
              <w:pStyle w:val="BodyText"/>
              <w:rPr>
                <w:lang w:val="en-NZ"/>
              </w:rPr>
            </w:pPr>
            <w:r w:rsidRPr="00E27850">
              <w:t>3. Calculate and record data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850" w:rsidP="00E27850">
            <w:pPr>
              <w:pStyle w:val="BodyText"/>
            </w:pPr>
            <w:r w:rsidRPr="00E27850">
              <w:t>3.1 Accurately calculate specified concentrations</w:t>
            </w:r>
          </w:p>
          <w:p w:rsidR="00000000" w:rsidRPr="00E27850" w:rsidP="00E27850">
            <w:pPr>
              <w:pStyle w:val="BodyText"/>
            </w:pPr>
            <w:r w:rsidRPr="00E27850">
              <w:t>3.2 Use authorised proce</w:t>
            </w:r>
            <w:r w:rsidRPr="00E27850">
              <w:t>dure if data is to be modified</w:t>
            </w:r>
          </w:p>
          <w:p w:rsidR="00000000" w:rsidRPr="00E27850" w:rsidP="00E27850">
            <w:pPr>
              <w:pStyle w:val="BodyText"/>
            </w:pPr>
            <w:r w:rsidRPr="00E27850">
              <w:t>3.3 Estimate and document uncertainty of measurement in accordance with workplace procedures</w:t>
            </w:r>
          </w:p>
          <w:p w:rsidR="00000000" w:rsidRPr="00E27850" w:rsidP="00E27850">
            <w:pPr>
              <w:pStyle w:val="BodyText"/>
            </w:pPr>
            <w:r w:rsidRPr="00E27850">
              <w:t xml:space="preserve">3.4 Record all relevant details in accordance with workplace procedures </w:t>
            </w:r>
          </w:p>
          <w:p w:rsidR="00000000" w:rsidP="00E27850">
            <w:pPr>
              <w:pStyle w:val="BodyText"/>
              <w:rPr>
                <w:lang w:val="en-NZ"/>
              </w:rPr>
            </w:pPr>
            <w:r w:rsidRPr="00E27850">
              <w:t>3.5 Report concentration with appropriate units</w:t>
            </w:r>
          </w:p>
        </w:tc>
      </w:tr>
      <w:tr w:rsidTr="009C7DE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850">
            <w:pPr>
              <w:pStyle w:val="BodyText"/>
              <w:rPr>
                <w:lang w:val="en-NZ"/>
              </w:rPr>
            </w:pPr>
            <w:r w:rsidRPr="00E27850">
              <w:t>4. Monitor</w:t>
            </w:r>
            <w:r w:rsidRPr="00E27850">
              <w:t xml:space="preserve"> the quality of laboratory solutions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850" w:rsidP="00E27850">
            <w:pPr>
              <w:pStyle w:val="BodyText"/>
            </w:pPr>
            <w:r w:rsidRPr="00E27850">
              <w:t>4.1 Check solutions for visual deterioration and expiry date</w:t>
            </w:r>
          </w:p>
          <w:p w:rsidR="00000000" w:rsidP="00E27850">
            <w:pPr>
              <w:pStyle w:val="BodyText"/>
              <w:rPr>
                <w:lang w:val="en-NZ"/>
              </w:rPr>
            </w:pPr>
            <w:r w:rsidRPr="00E27850">
              <w:t>4.2 Record details and label solutions in accordance with workplace procedures</w:t>
            </w:r>
          </w:p>
        </w:tc>
      </w:tr>
      <w:tr w:rsidTr="009C7DE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850">
            <w:pPr>
              <w:pStyle w:val="BodyText"/>
              <w:rPr>
                <w:lang w:val="en-NZ"/>
              </w:rPr>
            </w:pPr>
            <w:r w:rsidRPr="00E27850">
              <w:t>5. Maintain a safe work environment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850" w:rsidP="00E27850">
            <w:pPr>
              <w:pStyle w:val="BodyText"/>
            </w:pPr>
            <w:r w:rsidRPr="00E27850">
              <w:t>5.1 Use established safe work practices an</w:t>
            </w:r>
            <w:r w:rsidRPr="00E27850">
              <w:t>d personal protective equipment (PPE) to ensure personal safety and that of other laboratory personnel</w:t>
            </w:r>
          </w:p>
          <w:p w:rsidR="00000000" w:rsidRPr="00E27850" w:rsidP="00E27850">
            <w:pPr>
              <w:pStyle w:val="BodyText"/>
            </w:pPr>
            <w:r w:rsidRPr="00E27850">
              <w:t>5.2 Clean up spills using appropriate techniques to protect personnel, work area and environment</w:t>
            </w:r>
          </w:p>
          <w:p w:rsidR="00000000" w:rsidRPr="00E27850" w:rsidP="00E27850">
            <w:pPr>
              <w:pStyle w:val="BodyText"/>
            </w:pPr>
            <w:r w:rsidRPr="00E27850">
              <w:t>5.3 Minimise generation of waste and environmental impac</w:t>
            </w:r>
            <w:r w:rsidRPr="00E27850">
              <w:t>ts</w:t>
            </w:r>
          </w:p>
          <w:p w:rsidR="00000000" w:rsidRPr="00E27850" w:rsidP="00E27850">
            <w:pPr>
              <w:pStyle w:val="BodyText"/>
            </w:pPr>
            <w:r w:rsidRPr="00E27850">
              <w:t>5.4 Ensure the safe collection of laboratory and hazardous waste for subsequent disposal</w:t>
            </w:r>
          </w:p>
          <w:p w:rsidR="00000000" w:rsidRPr="00E27850" w:rsidP="00E27850">
            <w:pPr>
              <w:pStyle w:val="BodyText"/>
            </w:pPr>
            <w:r w:rsidRPr="00E27850">
              <w:t xml:space="preserve">5.5 Store equipment and reagents in accordance with workplace procedures </w:t>
            </w:r>
          </w:p>
        </w:tc>
      </w:tr>
    </w:tbl>
    <w:p w:rsidR="009C7DE5" w:rsidP="00E27850">
      <w:pPr>
        <w:pStyle w:val="BodyText"/>
      </w:pPr>
    </w:p>
    <w:p w:rsidR="009C7DE5" w:rsidP="00E27850">
      <w:pPr>
        <w:pStyle w:val="BodyText"/>
      </w:pPr>
    </w:p>
    <w:p w:rsidR="00000000" w:rsidRPr="00E27850" w:rsidP="00E27850">
      <w:pPr>
        <w:pStyle w:val="Heading1"/>
      </w:pPr>
      <w:bookmarkStart w:id="6" w:name="O_1257713"/>
      <w:bookmarkEnd w:id="6"/>
      <w:r w:rsidRPr="00E27850">
        <w:t>Foundation Skills</w:t>
      </w:r>
    </w:p>
    <w:p w:rsidR="00000000" w:rsidRPr="00E27850" w:rsidP="009C7DE5">
      <w:pPr>
        <w:pStyle w:val="BodyText"/>
      </w:pPr>
      <w:r w:rsidRPr="00E27850">
        <w:t>This section describes those language, literacy, numeracy and employment skills that are essential to performance.</w:t>
      </w:r>
    </w:p>
    <w:p w:rsidR="00000000" w:rsidRPr="00E27850" w:rsidP="00E27850">
      <w:pPr>
        <w:pStyle w:val="ListBullet"/>
      </w:pPr>
      <w:r w:rsidRPr="00E27850">
        <w:t>Numeracy skills to:</w:t>
      </w:r>
    </w:p>
    <w:p w:rsidR="00000000" w:rsidRPr="00E27850" w:rsidP="00E27850">
      <w:pPr>
        <w:pStyle w:val="ListBullet2"/>
      </w:pPr>
      <w:r w:rsidRPr="00E27850">
        <w:t>select and use primary and secondary standards and indicators</w:t>
      </w:r>
    </w:p>
    <w:p w:rsidR="00000000" w:rsidRPr="00E27850" w:rsidP="00E27850">
      <w:pPr>
        <w:pStyle w:val="ListBullet2"/>
      </w:pPr>
      <w:r w:rsidRPr="00E27850">
        <w:t xml:space="preserve">determine equivalence points using indicators </w:t>
      </w:r>
    </w:p>
    <w:p w:rsidR="00000000" w:rsidRPr="00E27850" w:rsidP="00E27850">
      <w:pPr>
        <w:pStyle w:val="ListBullet2"/>
      </w:pPr>
      <w:r w:rsidRPr="00E27850">
        <w:t>calculate the concentration of the solution with appropriate units and uncertainties given the chemical reaction for the titration</w:t>
      </w:r>
    </w:p>
    <w:p w:rsidR="00000000" w:rsidRPr="00E27850" w:rsidP="00E27850">
      <w:pPr>
        <w:pStyle w:val="ListBullet2"/>
      </w:pPr>
      <w:r w:rsidRPr="00E27850">
        <w:t>recognise control results that are not within an acceptable range.</w:t>
      </w:r>
    </w:p>
    <w:p w:rsidR="009C7DE5" w:rsidP="009C7DE5">
      <w:pPr>
        <w:pStyle w:val="BodyText"/>
      </w:pPr>
      <w:r w:rsidRPr="00E27850">
        <w:t>Other foundation skills essential to performance are expli</w:t>
      </w:r>
      <w:r w:rsidRPr="00E27850">
        <w:t>cit in the performance criteria of this unit</w:t>
      </w:r>
    </w:p>
    <w:p w:rsidR="00000000" w:rsidRPr="00E27850" w:rsidP="00E27850">
      <w:pPr>
        <w:pStyle w:val="Heading1"/>
      </w:pPr>
      <w:bookmarkStart w:id="7" w:name="O_1257715"/>
      <w:bookmarkEnd w:id="7"/>
      <w:r w:rsidRPr="00E27850">
        <w:t>Unit Mapping Information</w:t>
      </w:r>
    </w:p>
    <w:p w:rsidR="009C7DE5" w:rsidP="009C7DE5">
      <w:pPr>
        <w:pStyle w:val="BodyText"/>
      </w:pPr>
      <w:r w:rsidRPr="00E27850">
        <w:t xml:space="preserve">Supersedes and is equivalent to MSL974017 Prepare, standardise and use solutions. </w:t>
      </w:r>
    </w:p>
    <w:p w:rsidR="00000000" w:rsidRPr="00E27850" w:rsidP="00E27850">
      <w:pPr>
        <w:pStyle w:val="Heading1"/>
      </w:pPr>
      <w:bookmarkStart w:id="8" w:name="O_1257722"/>
      <w:bookmarkEnd w:id="8"/>
      <w:r w:rsidRPr="00E27850">
        <w:t>Links</w:t>
      </w:r>
    </w:p>
    <w:p w:rsidR="00000000" w:rsidRPr="00E27850" w:rsidP="009C7DE5">
      <w:pPr>
        <w:pStyle w:val="BodyText"/>
      </w:pPr>
      <w:r w:rsidRPr="00E27850">
        <w:t>MSL Laboratory Operations Companion Volume Implementation</w:t>
      </w:r>
      <w:r w:rsidRPr="00E27850">
        <w:t xml:space="preserve">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233C80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E27850" w:rsidP="00E27850"/>
    <w:sectPr w:rsidSect="00E278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8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850" w:rsidRPr="009C7DE5" w:rsidP="009C7D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8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DE5" w:rsidP="00E278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7DE5" w:rsidP="00E278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C7DE5" w:rsidP="00E278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8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D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7850" w:rsidRPr="009C7DE5" w:rsidP="009C7D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8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DE5" w:rsidRPr="002D2AF8" w:rsidP="00E278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MSL974031 Prepare, standardise and use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9C7DE5" w:rsidP="00E278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E0283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84EB4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0847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78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78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78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78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78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78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78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78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78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78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78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7850"/>
  </w:style>
  <w:style w:type="character" w:customStyle="1" w:styleId="Heading1Char">
    <w:name w:val="Heading 1 Char"/>
    <w:basedOn w:val="DefaultParagraphFont"/>
    <w:link w:val="Heading1"/>
    <w:rsid w:val="00E278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78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78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785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7850"/>
    <w:rPr>
      <w:b/>
      <w:spacing w:val="0"/>
    </w:rPr>
  </w:style>
  <w:style w:type="paragraph" w:styleId="ListBullet2">
    <w:name w:val="List Bullet 2"/>
    <w:basedOn w:val="List2"/>
    <w:rsid w:val="00E2785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278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78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78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78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78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78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78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78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78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78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78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78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78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78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78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78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78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78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78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78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78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78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78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78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78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278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78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78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78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78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78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78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78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78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7850"/>
    <w:rPr>
      <w:i/>
    </w:rPr>
  </w:style>
  <w:style w:type="paragraph" w:styleId="Caption">
    <w:name w:val="caption"/>
    <w:basedOn w:val="BodyText"/>
    <w:next w:val="Normal"/>
    <w:qFormat/>
    <w:rsid w:val="00E278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78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78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7850"/>
  </w:style>
  <w:style w:type="paragraph" w:styleId="TableofFigures">
    <w:name w:val="table of figures"/>
    <w:basedOn w:val="Normal"/>
    <w:next w:val="Normal"/>
    <w:semiHidden/>
    <w:rsid w:val="00E278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785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27850"/>
    <w:rPr>
      <w:rFonts w:ascii="Wingdings" w:hAnsi="Wingdings"/>
    </w:rPr>
  </w:style>
  <w:style w:type="paragraph" w:customStyle="1" w:styleId="TableHeading">
    <w:name w:val="Table Heading"/>
    <w:basedOn w:val="HeadingBase"/>
    <w:rsid w:val="00E278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7850"/>
    <w:rPr>
      <w:color w:val="0033CC"/>
      <w:u w:val="none"/>
    </w:rPr>
  </w:style>
  <w:style w:type="paragraph" w:customStyle="1" w:styleId="BodyTextRight">
    <w:name w:val="Body Text Right"/>
    <w:basedOn w:val="BodyText"/>
    <w:rsid w:val="00E278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78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785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78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78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78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7850"/>
    <w:rPr>
      <w:sz w:val="32"/>
    </w:rPr>
  </w:style>
  <w:style w:type="paragraph" w:customStyle="1" w:styleId="HeadingProcedure">
    <w:name w:val="Heading Procedure"/>
    <w:basedOn w:val="HeadingBase"/>
    <w:next w:val="Normal"/>
    <w:rsid w:val="00E278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7850"/>
    <w:pPr>
      <w:spacing w:before="60" w:after="60"/>
    </w:pPr>
  </w:style>
  <w:style w:type="paragraph" w:styleId="ListContinue">
    <w:name w:val="List Continue"/>
    <w:basedOn w:val="List"/>
    <w:rsid w:val="00E27850"/>
    <w:pPr>
      <w:ind w:firstLine="0"/>
    </w:pPr>
  </w:style>
  <w:style w:type="paragraph" w:customStyle="1" w:styleId="ListNote">
    <w:name w:val="List Note"/>
    <w:basedOn w:val="List"/>
    <w:rsid w:val="00E278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78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78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7850"/>
    <w:rPr>
      <w:rFonts w:ascii="Courier New" w:hAnsi="Courier New"/>
    </w:rPr>
  </w:style>
  <w:style w:type="paragraph" w:customStyle="1" w:styleId="NoteBullet">
    <w:name w:val="Note Bullet"/>
    <w:basedOn w:val="Note"/>
    <w:rsid w:val="00E278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78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78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78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785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278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78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7850"/>
    <w:rPr>
      <w:b/>
      <w:smallCaps/>
    </w:rPr>
  </w:style>
  <w:style w:type="paragraph" w:customStyle="1" w:styleId="TableListNumber">
    <w:name w:val="Table List Number"/>
    <w:basedOn w:val="ListNumber"/>
    <w:rsid w:val="00E278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78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7850"/>
    <w:pPr>
      <w:numPr>
        <w:numId w:val="9"/>
      </w:numPr>
    </w:pPr>
  </w:style>
  <w:style w:type="paragraph" w:customStyle="1" w:styleId="ListAlpha2">
    <w:name w:val="List Alpha 2"/>
    <w:basedOn w:val="List2"/>
    <w:rsid w:val="00E27850"/>
    <w:pPr>
      <w:numPr>
        <w:numId w:val="8"/>
      </w:numPr>
    </w:pPr>
  </w:style>
  <w:style w:type="paragraph" w:styleId="List2">
    <w:name w:val="List 2"/>
    <w:basedOn w:val="BodyText"/>
    <w:rsid w:val="00E278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78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78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78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785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785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27850"/>
    <w:pPr>
      <w:numPr>
        <w:numId w:val="4"/>
      </w:numPr>
    </w:pPr>
  </w:style>
  <w:style w:type="paragraph" w:styleId="ListContinue2">
    <w:name w:val="List Continue 2"/>
    <w:basedOn w:val="List2"/>
    <w:rsid w:val="00E27850"/>
    <w:pPr>
      <w:ind w:firstLine="0"/>
    </w:pPr>
  </w:style>
  <w:style w:type="paragraph" w:styleId="ListContinue3">
    <w:name w:val="List Continue 3"/>
    <w:basedOn w:val="List3"/>
    <w:rsid w:val="00E27850"/>
    <w:pPr>
      <w:ind w:left="1021" w:firstLine="0"/>
    </w:pPr>
  </w:style>
  <w:style w:type="paragraph" w:styleId="ListContinue4">
    <w:name w:val="List Continue 4"/>
    <w:basedOn w:val="List4"/>
    <w:rsid w:val="00E27850"/>
    <w:pPr>
      <w:ind w:firstLine="0"/>
    </w:pPr>
  </w:style>
  <w:style w:type="paragraph" w:styleId="ListContinue5">
    <w:name w:val="List Continue 5"/>
    <w:basedOn w:val="List5"/>
    <w:rsid w:val="00E27850"/>
    <w:pPr>
      <w:ind w:firstLine="0"/>
    </w:pPr>
  </w:style>
  <w:style w:type="paragraph" w:styleId="ListNumber3">
    <w:name w:val="List Number 3"/>
    <w:basedOn w:val="List3"/>
    <w:rsid w:val="00E27850"/>
    <w:pPr>
      <w:numPr>
        <w:numId w:val="5"/>
      </w:numPr>
    </w:pPr>
  </w:style>
  <w:style w:type="paragraph" w:styleId="ListNumber4">
    <w:name w:val="List Number 4"/>
    <w:basedOn w:val="List4"/>
    <w:rsid w:val="00E27850"/>
    <w:pPr>
      <w:numPr>
        <w:numId w:val="6"/>
      </w:numPr>
    </w:pPr>
  </w:style>
  <w:style w:type="paragraph" w:styleId="ListNumber5">
    <w:name w:val="List Number 5"/>
    <w:basedOn w:val="List5"/>
    <w:rsid w:val="00E27850"/>
    <w:pPr>
      <w:numPr>
        <w:numId w:val="7"/>
      </w:numPr>
    </w:pPr>
  </w:style>
  <w:style w:type="paragraph" w:styleId="BlockText">
    <w:name w:val="Block Text"/>
    <w:basedOn w:val="Normal"/>
    <w:rsid w:val="00E278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78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7850"/>
    <w:rPr>
      <w:sz w:val="16"/>
      <w:vertAlign w:val="superscript"/>
    </w:rPr>
  </w:style>
  <w:style w:type="character" w:customStyle="1" w:styleId="Symbols">
    <w:name w:val="Symbols"/>
    <w:basedOn w:val="DefaultParagraphFont"/>
    <w:rsid w:val="00E27850"/>
    <w:rPr>
      <w:rFonts w:ascii="Symbol" w:hAnsi="Symbol"/>
    </w:rPr>
  </w:style>
  <w:style w:type="character" w:customStyle="1" w:styleId="MenuOptions">
    <w:name w:val="Menu Options"/>
    <w:basedOn w:val="DefaultParagraphFont"/>
    <w:rsid w:val="00E278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7850"/>
    <w:rPr>
      <w:b/>
    </w:rPr>
  </w:style>
  <w:style w:type="character" w:customStyle="1" w:styleId="Underlined">
    <w:name w:val="Underlined"/>
    <w:basedOn w:val="DefaultParagraphFont"/>
    <w:rsid w:val="00E27850"/>
    <w:rPr>
      <w:u w:val="single"/>
    </w:rPr>
  </w:style>
  <w:style w:type="paragraph" w:customStyle="1" w:styleId="TableBodyTextRight">
    <w:name w:val="Table Body Text Right"/>
    <w:basedOn w:val="TableBodyText"/>
    <w:rsid w:val="00E278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7850"/>
    <w:rPr>
      <w:sz w:val="18"/>
    </w:rPr>
  </w:style>
  <w:style w:type="paragraph" w:customStyle="1" w:styleId="BodySmallRight">
    <w:name w:val="Body Small Right"/>
    <w:basedOn w:val="BodyTextRight"/>
    <w:rsid w:val="00E27850"/>
    <w:rPr>
      <w:sz w:val="18"/>
      <w:szCs w:val="18"/>
    </w:rPr>
  </w:style>
  <w:style w:type="paragraph" w:customStyle="1" w:styleId="MarginEdition">
    <w:name w:val="Margin Edition"/>
    <w:basedOn w:val="MarginNote"/>
    <w:rsid w:val="00E278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7850"/>
    <w:rPr>
      <w:sz w:val="2"/>
      <w:szCs w:val="2"/>
    </w:rPr>
  </w:style>
  <w:style w:type="character" w:customStyle="1" w:styleId="Small">
    <w:name w:val="Small"/>
    <w:basedOn w:val="DefaultParagraphFont"/>
    <w:rsid w:val="00E27850"/>
    <w:rPr>
      <w:sz w:val="16"/>
    </w:rPr>
  </w:style>
  <w:style w:type="paragraph" w:customStyle="1" w:styleId="WideTable">
    <w:name w:val="Wide Table"/>
    <w:basedOn w:val="Normal"/>
    <w:rsid w:val="00E278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7850"/>
  </w:style>
  <w:style w:type="paragraph" w:styleId="Quote">
    <w:name w:val="Quote"/>
    <w:basedOn w:val="Heading1"/>
    <w:link w:val="QuoteChar"/>
    <w:qFormat/>
    <w:rsid w:val="00E278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78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7850"/>
    <w:pPr>
      <w:pageBreakBefore/>
    </w:pPr>
  </w:style>
  <w:style w:type="paragraph" w:customStyle="1" w:styleId="Border">
    <w:name w:val="Border"/>
    <w:basedOn w:val="Normal"/>
    <w:qFormat/>
    <w:rsid w:val="00E278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78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78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78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78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78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78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78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78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7850"/>
    <w:rPr>
      <w:u w:val="single"/>
    </w:rPr>
  </w:style>
  <w:style w:type="character" w:customStyle="1" w:styleId="BoldandItalics">
    <w:name w:val="Bold and Italics"/>
    <w:qFormat/>
    <w:rsid w:val="00E27850"/>
    <w:rPr>
      <w:b/>
      <w:i/>
      <w:u w:val="none"/>
    </w:rPr>
  </w:style>
  <w:style w:type="paragraph" w:styleId="BalloonText">
    <w:name w:val="Balloon Text"/>
    <w:basedOn w:val="Normal"/>
    <w:link w:val="BalloonTextChar"/>
    <w:rsid w:val="00E278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78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78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78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78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78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7850"/>
    <w:pPr>
      <w:spacing w:before="0" w:after="0"/>
    </w:pPr>
  </w:style>
  <w:style w:type="paragraph" w:customStyle="1" w:styleId="BodyTextBold">
    <w:name w:val="Body Text Bold"/>
    <w:basedOn w:val="BodyText"/>
    <w:qFormat/>
    <w:rsid w:val="00E27850"/>
    <w:rPr>
      <w:b/>
    </w:rPr>
  </w:style>
  <w:style w:type="character" w:styleId="Hyperlink">
    <w:name w:val="Hyperlink"/>
    <w:basedOn w:val="DefaultParagraphFont"/>
    <w:uiPriority w:val="99"/>
    <w:unhideWhenUsed/>
    <w:rsid w:val="009C7D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560</Words>
  <Characters>3668</Characters>
  <Application>Microsoft Office Word</Application>
  <DocSecurity>0</DocSecurity>
  <Lines>104</Lines>
  <Paragraphs>69</Paragraphs>
  <ScaleCrop>false</ScaleCrop>
  <Company>Author-it Software Corporation Ltd.</Company>
  <LinksUpToDate>false</LinksUpToDate>
  <CharactersWithSpaces>4159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MSL974031 Prepare, standardise and use solutions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2022-12-19T23:59:00Z</dcterms:created>
  <dcterms:modified xsi:type="dcterms:W3CDTF">2022-12-19T23:59:00Z</dcterms:modified>
</cp:coreProperties>
</file>