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57BE" w:rsidP="009B57BE">
      <w:pPr>
        <w:pStyle w:val="Title"/>
      </w:pPr>
      <w:r>
        <w:fldChar w:fldCharType="begin"/>
      </w:r>
      <w:r>
        <w:instrText xml:space="preserve"> TITLE   \* MERGEFORMAT </w:instrText>
      </w:r>
      <w:r>
        <w:fldChar w:fldCharType="separate"/>
      </w:r>
      <w:r>
        <w:t>MSL974030 Process body fluid specimens using a point of care testing device</w:t>
      </w:r>
      <w:r>
        <w:fldChar w:fldCharType="end"/>
      </w:r>
    </w:p>
    <w:p w:rsidR="009B57BE" w:rsidP="009B57BE">
      <w:pPr>
        <w:pStyle w:val="Version"/>
        <w:sectPr w:rsidSect="009E4B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4B1D" w:rsidP="009E4B1D">
      <w:pPr>
        <w:pStyle w:val="SuperHeading"/>
      </w:pPr>
      <w:r w:rsidRPr="009E4B1D">
        <w:t>MSL974030 Process body fluid specimens using a point of care testing device</w:t>
      </w:r>
    </w:p>
    <w:p w:rsidR="00000000" w:rsidRPr="009E4B1D" w:rsidP="009E4B1D">
      <w:pPr>
        <w:pStyle w:val="Heading1"/>
      </w:pPr>
      <w:bookmarkStart w:id="1" w:name="O_1070518"/>
      <w:bookmarkEnd w:id="1"/>
      <w:r w:rsidRPr="009E4B1D">
        <w:t>Modification History</w:t>
      </w:r>
    </w:p>
    <w:p w:rsidR="00000000" w:rsidRPr="009E4B1D" w:rsidP="009B57BE">
      <w:pPr>
        <w:pStyle w:val="BodyText"/>
      </w:pPr>
      <w:r w:rsidRPr="009E4B1D">
        <w:t>Release 1. New Unit. This version was released with MSL Laboratory Operations Training Package, Release 3.0.</w:t>
      </w:r>
    </w:p>
    <w:p w:rsidR="00000000" w:rsidRPr="009E4B1D" w:rsidP="009E4B1D">
      <w:pPr>
        <w:pStyle w:val="Heading1"/>
      </w:pPr>
      <w:bookmarkStart w:id="2" w:name="O_1070519"/>
      <w:bookmarkEnd w:id="2"/>
      <w:r w:rsidRPr="009E4B1D">
        <w:t>Application</w:t>
      </w:r>
    </w:p>
    <w:p w:rsidR="00000000" w:rsidRPr="009E4B1D" w:rsidP="009B57BE">
      <w:pPr>
        <w:pStyle w:val="BodyText"/>
      </w:pPr>
      <w:r w:rsidRPr="009E4B1D">
        <w:t>This unit describes the skills and knowledge required to complete pre-analytics, analyse body fluid specimens, record results and maintain a point of care testing (PoCT) device.</w:t>
      </w:r>
    </w:p>
    <w:p w:rsidR="00000000" w:rsidRPr="009E4B1D" w:rsidP="009B57BE">
      <w:pPr>
        <w:pStyle w:val="BodyText"/>
      </w:pPr>
      <w:r w:rsidRPr="009E4B1D">
        <w:t>This unit applies to operators who follow standard operating procedures and ap</w:t>
      </w:r>
      <w:r w:rsidRPr="009E4B1D">
        <w:t>ply quality systems to analyse body fluid specimens after the initial collection process. It is relevant to operators working directly with clients and those working in laboratories. The unit relates to diagnostic PoCT devices that provide an electronic re</w:t>
      </w:r>
      <w:r w:rsidRPr="009E4B1D">
        <w:t xml:space="preserve">ad-out such as those used for measuring glucose, blood gases and haematological or biochemical parameters. It does not relate to devices used for toxicology, dipstick, test strip or lateral flow testing and other simple manual devices. </w:t>
      </w:r>
    </w:p>
    <w:p w:rsidR="00000000" w:rsidRPr="009E4B1D" w:rsidP="009B57BE">
      <w:pPr>
        <w:pStyle w:val="BodyText"/>
      </w:pPr>
      <w:r w:rsidRPr="009E4B1D">
        <w:t>No licensing or cer</w:t>
      </w:r>
      <w:r w:rsidRPr="009E4B1D">
        <w:t>tification requirements exist at the time of publication. Relevant legislation, industry standards and codes of practice within Australia must be applied.</w:t>
      </w:r>
    </w:p>
    <w:p w:rsidR="00000000" w:rsidRPr="009E4B1D" w:rsidP="009E4B1D">
      <w:pPr>
        <w:pStyle w:val="Heading1"/>
      </w:pPr>
      <w:bookmarkStart w:id="3" w:name="O_1070520"/>
      <w:bookmarkEnd w:id="3"/>
      <w:r w:rsidRPr="009E4B1D">
        <w:t>Pre-requisite Unit</w:t>
      </w:r>
    </w:p>
    <w:p w:rsidR="00000000" w:rsidRPr="009E4B1D" w:rsidP="009B57BE">
      <w:pPr>
        <w:pStyle w:val="BodyText"/>
      </w:pPr>
      <w:r w:rsidRPr="009E4B1D">
        <w:t>Nil.</w:t>
      </w:r>
    </w:p>
    <w:p w:rsidR="00000000" w:rsidRPr="009E4B1D" w:rsidP="009E4B1D">
      <w:pPr>
        <w:pStyle w:val="Heading1"/>
      </w:pPr>
      <w:bookmarkStart w:id="4" w:name="O_1070521"/>
      <w:bookmarkEnd w:id="4"/>
      <w:r w:rsidRPr="009E4B1D">
        <w:t>Competency Field</w:t>
      </w:r>
    </w:p>
    <w:p w:rsidR="00000000" w:rsidRPr="009E4B1D" w:rsidP="009B57BE">
      <w:pPr>
        <w:pStyle w:val="BodyText"/>
      </w:pPr>
      <w:r w:rsidRPr="009E4B1D">
        <w:t>Testing.</w:t>
      </w:r>
    </w:p>
    <w:p w:rsidR="00000000" w:rsidRPr="009E4B1D" w:rsidP="009E4B1D">
      <w:pPr>
        <w:pStyle w:val="Heading1"/>
      </w:pPr>
      <w:bookmarkStart w:id="5" w:name="O_1070523"/>
      <w:bookmarkEnd w:id="5"/>
      <w:r w:rsidRPr="009E4B1D">
        <w:t>Elements and Performance Criteria</w:t>
      </w:r>
    </w:p>
    <w:tbl>
      <w:tblPr>
        <w:tblW w:w="9638" w:type="dxa"/>
        <w:tblLayout w:type="fixed"/>
        <w:tblCellMar>
          <w:left w:w="62" w:type="dxa"/>
          <w:right w:w="62" w:type="dxa"/>
        </w:tblCellMar>
        <w:tblLook w:val="0000"/>
      </w:tblPr>
      <w:tblGrid>
        <w:gridCol w:w="1947"/>
        <w:gridCol w:w="7691"/>
      </w:tblGrid>
      <w:tr w:rsidTr="009E4B1D">
        <w:tblPrEx>
          <w:tblW w:w="9638" w:type="dxa"/>
          <w:tblLayout w:type="fixed"/>
          <w:tblCellMar>
            <w:left w:w="62" w:type="dxa"/>
            <w:right w:w="62" w:type="dxa"/>
          </w:tblCellMar>
          <w:tblLook w:val="0000"/>
        </w:tblPrEx>
        <w:trPr>
          <w:tblHeader/>
        </w:trPr>
        <w:tc>
          <w:tcPr>
            <w:tcW w:w="1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B1D" w:rsidP="009E4B1D">
            <w:pPr>
              <w:pStyle w:val="BodyText"/>
            </w:pPr>
            <w:r w:rsidRPr="009E4B1D">
              <w:rPr>
                <w:rStyle w:val="SpecialBold"/>
              </w:rPr>
              <w:t>Elements</w:t>
            </w:r>
          </w:p>
          <w:p w:rsidR="00000000" w:rsidRPr="009E4B1D" w:rsidP="009E4B1D">
            <w:pPr>
              <w:pStyle w:val="BodyText"/>
            </w:pPr>
            <w:r w:rsidRPr="009E4B1D">
              <w:rPr>
                <w:rStyle w:val="Emphasis"/>
              </w:rPr>
              <w:t xml:space="preserve">Elements describe </w:t>
            </w:r>
            <w:r w:rsidRPr="009E4B1D">
              <w:t xml:space="preserve">the </w:t>
            </w:r>
            <w:r w:rsidRPr="009E4B1D">
              <w:rPr>
                <w:rStyle w:val="Emphasis"/>
              </w:rPr>
              <w:t>essential outcomes.</w:t>
            </w:r>
          </w:p>
        </w:tc>
        <w:tc>
          <w:tcPr>
            <w:tcW w:w="7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B1D" w:rsidP="009E4B1D">
            <w:pPr>
              <w:pStyle w:val="BodyText"/>
            </w:pPr>
            <w:r w:rsidRPr="009E4B1D">
              <w:rPr>
                <w:rStyle w:val="SpecialBold"/>
              </w:rPr>
              <w:t>Performance Criteria</w:t>
            </w:r>
          </w:p>
          <w:p w:rsidR="00000000" w:rsidP="009E4B1D">
            <w:pPr>
              <w:pStyle w:val="BodyText"/>
              <w:rPr>
                <w:lang w:val="en-NZ"/>
              </w:rPr>
            </w:pPr>
            <w:r w:rsidRPr="009E4B1D">
              <w:rPr>
                <w:rStyle w:val="Emphasis"/>
              </w:rPr>
              <w:t xml:space="preserve">Performance criteria describe the performance needed to demonstrate achievement of the element.  </w:t>
            </w:r>
          </w:p>
        </w:tc>
      </w:tr>
      <w:tr w:rsidTr="009E4B1D">
        <w:tblPrEx>
          <w:tblW w:w="9638" w:type="dxa"/>
          <w:tblLayout w:type="fixed"/>
          <w:tblCellMar>
            <w:left w:w="62" w:type="dxa"/>
            <w:right w:w="62" w:type="dxa"/>
          </w:tblCellMar>
          <w:tblLook w:val="0000"/>
        </w:tblPrEx>
        <w:tc>
          <w:tcPr>
            <w:tcW w:w="1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B1D" w:rsidP="009E4B1D">
            <w:pPr>
              <w:pStyle w:val="BodyText"/>
            </w:pPr>
            <w:r w:rsidRPr="009E4B1D">
              <w:t>1. Complete pre-analytics</w:t>
            </w:r>
          </w:p>
          <w:p w:rsidR="00000000">
            <w:pPr>
              <w:pStyle w:val="BodyText"/>
              <w:keepLines w:val="0"/>
              <w:spacing w:before="0" w:after="0"/>
              <w:rPr>
                <w:rFonts w:ascii="Tahoma" w:hAnsi="Tahoma"/>
                <w:sz w:val="20"/>
                <w:lang w:val="en-NZ"/>
              </w:rPr>
            </w:pPr>
          </w:p>
        </w:tc>
        <w:tc>
          <w:tcPr>
            <w:tcW w:w="7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B1D" w:rsidP="009E4B1D">
            <w:pPr>
              <w:pStyle w:val="BodyText"/>
            </w:pPr>
            <w:r w:rsidRPr="009E4B1D">
              <w:t>1.1 Confirm correct patient identification in accordance with standard operating procedures</w:t>
            </w:r>
          </w:p>
          <w:p w:rsidR="00000000" w:rsidRPr="009E4B1D" w:rsidP="009E4B1D">
            <w:pPr>
              <w:pStyle w:val="BodyText"/>
            </w:pPr>
            <w:r w:rsidRPr="009E4B1D">
              <w:t xml:space="preserve">1.2 Identify collection method and confirm specimen type has been approved for testing based on manufacturer requirements and standard operating procedures </w:t>
            </w:r>
          </w:p>
          <w:p w:rsidR="00000000" w:rsidP="009E4B1D">
            <w:pPr>
              <w:pStyle w:val="BodyText"/>
              <w:rPr>
                <w:lang w:val="en-NZ"/>
              </w:rPr>
            </w:pPr>
            <w:r w:rsidRPr="009E4B1D">
              <w:t>1.3 Rec</w:t>
            </w:r>
            <w:r w:rsidRPr="009E4B1D">
              <w:t xml:space="preserve">ognise and reject specimens that do not meet specimen quality requirements </w:t>
            </w:r>
          </w:p>
        </w:tc>
      </w:tr>
      <w:tr w:rsidTr="009E4B1D">
        <w:tblPrEx>
          <w:tblW w:w="9638" w:type="dxa"/>
          <w:tblLayout w:type="fixed"/>
          <w:tblCellMar>
            <w:left w:w="62" w:type="dxa"/>
            <w:right w:w="62" w:type="dxa"/>
          </w:tblCellMar>
          <w:tblLook w:val="0000"/>
        </w:tblPrEx>
        <w:trPr>
          <w:trHeight w:val="168"/>
        </w:trPr>
        <w:tc>
          <w:tcPr>
            <w:tcW w:w="1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B1D">
            <w:pPr>
              <w:pStyle w:val="BodyText"/>
              <w:rPr>
                <w:lang w:val="en-NZ"/>
              </w:rPr>
            </w:pPr>
            <w:r w:rsidRPr="009E4B1D">
              <w:t>2. Prepare and operate PoCT device</w:t>
            </w:r>
          </w:p>
        </w:tc>
        <w:tc>
          <w:tcPr>
            <w:tcW w:w="7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B1D" w:rsidP="009E4B1D">
            <w:pPr>
              <w:pStyle w:val="BodyText"/>
            </w:pPr>
            <w:r w:rsidRPr="009E4B1D">
              <w:t>2.1 Prepare PoCT device for operation in accordance with standard operating procedures</w:t>
            </w:r>
          </w:p>
          <w:p w:rsidR="00000000" w:rsidRPr="009E4B1D" w:rsidP="009E4B1D">
            <w:pPr>
              <w:pStyle w:val="BodyText"/>
            </w:pPr>
            <w:r w:rsidRPr="009E4B1D">
              <w:t>2.2 Follow standard operating procedures for traceability</w:t>
            </w:r>
            <w:r w:rsidRPr="009E4B1D">
              <w:t xml:space="preserve"> of operator and patient</w:t>
            </w:r>
          </w:p>
          <w:p w:rsidR="00000000" w:rsidRPr="009E4B1D" w:rsidP="009E4B1D">
            <w:pPr>
              <w:pStyle w:val="BodyText"/>
            </w:pPr>
            <w:r w:rsidRPr="009E4B1D">
              <w:t>2.3 Maintain test integrity through appropriate handling of consumables</w:t>
            </w:r>
          </w:p>
          <w:p w:rsidR="00000000" w:rsidRPr="009E4B1D" w:rsidP="009E4B1D">
            <w:pPr>
              <w:pStyle w:val="BodyText"/>
            </w:pPr>
            <w:r w:rsidRPr="009E4B1D">
              <w:t>2.4 Perform tests in accordance with standard operating procedures and personal protective equipment (PPE) requirements for infection prevention</w:t>
            </w:r>
          </w:p>
          <w:p w:rsidR="00000000" w:rsidRPr="009E4B1D" w:rsidP="009E4B1D">
            <w:pPr>
              <w:pStyle w:val="BodyText"/>
            </w:pPr>
            <w:r w:rsidRPr="009E4B1D">
              <w:t>2.5 Dispose of</w:t>
            </w:r>
            <w:r w:rsidRPr="009E4B1D">
              <w:t xml:space="preserve"> waste in accordance with standard operating procedures</w:t>
            </w:r>
          </w:p>
          <w:p w:rsidR="00000000" w:rsidRPr="009E4B1D" w:rsidP="009E4B1D">
            <w:pPr>
              <w:pStyle w:val="BodyText"/>
            </w:pPr>
            <w:r w:rsidRPr="009E4B1D">
              <w:t xml:space="preserve">2.6 Identify and troubleshoot result flags and errors in accordance with standard operating procedures </w:t>
            </w:r>
          </w:p>
          <w:p w:rsidR="00000000" w:rsidP="009E4B1D">
            <w:pPr>
              <w:pStyle w:val="BodyText"/>
              <w:rPr>
                <w:lang w:val="en-NZ"/>
              </w:rPr>
            </w:pPr>
            <w:r w:rsidRPr="009E4B1D">
              <w:t>2.7 Identify and report device errors that are outside area of responsibility and refer to desig</w:t>
            </w:r>
            <w:r w:rsidRPr="009E4B1D">
              <w:t>nated person, providing relevant supporting information</w:t>
            </w:r>
          </w:p>
        </w:tc>
      </w:tr>
      <w:tr w:rsidTr="009E4B1D">
        <w:tblPrEx>
          <w:tblW w:w="9638" w:type="dxa"/>
          <w:tblLayout w:type="fixed"/>
          <w:tblCellMar>
            <w:left w:w="62" w:type="dxa"/>
            <w:right w:w="62" w:type="dxa"/>
          </w:tblCellMar>
          <w:tblLook w:val="0000"/>
        </w:tblPrEx>
        <w:trPr>
          <w:trHeight w:val="168"/>
        </w:trPr>
        <w:tc>
          <w:tcPr>
            <w:tcW w:w="1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B1D">
            <w:pPr>
              <w:pStyle w:val="BodyText"/>
              <w:rPr>
                <w:lang w:val="en-NZ"/>
              </w:rPr>
            </w:pPr>
            <w:r w:rsidRPr="009E4B1D">
              <w:t>3. Review and document results</w:t>
            </w:r>
          </w:p>
        </w:tc>
        <w:tc>
          <w:tcPr>
            <w:tcW w:w="7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B1D" w:rsidP="009E4B1D">
            <w:pPr>
              <w:pStyle w:val="BodyText"/>
            </w:pPr>
            <w:r w:rsidRPr="009E4B1D">
              <w:t>3.1 Review results against reference intervals and reportable range</w:t>
            </w:r>
          </w:p>
          <w:p w:rsidR="00000000" w:rsidRPr="009E4B1D" w:rsidP="009E4B1D">
            <w:pPr>
              <w:pStyle w:val="BodyText"/>
            </w:pPr>
            <w:r w:rsidRPr="009E4B1D">
              <w:t>3.2 Identify abnormal, clinically urgent and erroneous results, taking action in accordance with standard operating procedures</w:t>
            </w:r>
          </w:p>
          <w:p w:rsidR="00000000" w:rsidP="009E4B1D">
            <w:pPr>
              <w:pStyle w:val="BodyText"/>
              <w:rPr>
                <w:lang w:val="en-NZ"/>
              </w:rPr>
            </w:pPr>
            <w:r w:rsidRPr="009E4B1D">
              <w:t>3.3 Accurately record results in accordance with standard operating procedures</w:t>
            </w:r>
          </w:p>
        </w:tc>
      </w:tr>
      <w:tr w:rsidTr="009E4B1D">
        <w:tblPrEx>
          <w:tblW w:w="9638" w:type="dxa"/>
          <w:tblLayout w:type="fixed"/>
          <w:tblCellMar>
            <w:left w:w="62" w:type="dxa"/>
            <w:right w:w="62" w:type="dxa"/>
          </w:tblCellMar>
          <w:tblLook w:val="0000"/>
        </w:tblPrEx>
        <w:trPr>
          <w:trHeight w:val="168"/>
        </w:trPr>
        <w:tc>
          <w:tcPr>
            <w:tcW w:w="19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B1D">
            <w:pPr>
              <w:pStyle w:val="BodyText"/>
              <w:rPr>
                <w:lang w:val="en-NZ"/>
              </w:rPr>
            </w:pPr>
            <w:r w:rsidRPr="009E4B1D">
              <w:t>4. Maintain device readiness</w:t>
            </w:r>
          </w:p>
        </w:tc>
        <w:tc>
          <w:tcPr>
            <w:tcW w:w="76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B1D" w:rsidP="009E4B1D">
            <w:pPr>
              <w:pStyle w:val="BodyText"/>
            </w:pPr>
            <w:r w:rsidRPr="009E4B1D">
              <w:t>4.1 Clean and decont</w:t>
            </w:r>
            <w:r w:rsidRPr="009E4B1D">
              <w:t xml:space="preserve">aminate devices in accordance with standard operating procedures </w:t>
            </w:r>
          </w:p>
          <w:p w:rsidR="00000000" w:rsidRPr="009E4B1D" w:rsidP="009E4B1D">
            <w:pPr>
              <w:pStyle w:val="BodyText"/>
            </w:pPr>
            <w:r w:rsidRPr="009E4B1D">
              <w:t xml:space="preserve">4.2 Identify, address and document minor device maintenance tasks in accordance with standard operating procedures </w:t>
            </w:r>
          </w:p>
          <w:p w:rsidR="00000000" w:rsidRPr="009E4B1D" w:rsidP="009E4B1D">
            <w:pPr>
              <w:pStyle w:val="BodyText"/>
            </w:pPr>
            <w:r w:rsidRPr="009E4B1D">
              <w:t xml:space="preserve">4.3 Identify stock stability and storage requirements, taking any actions </w:t>
            </w:r>
            <w:r w:rsidRPr="009E4B1D">
              <w:t>that result in maintenance of stock availability and integrity</w:t>
            </w:r>
          </w:p>
          <w:p w:rsidR="00000000" w:rsidRPr="009E4B1D" w:rsidP="009E4B1D">
            <w:pPr>
              <w:pStyle w:val="BodyText"/>
            </w:pPr>
            <w:r w:rsidRPr="009E4B1D">
              <w:t>4.4 Perform routine quality-control tests in accordance with standard operating procedures</w:t>
            </w:r>
          </w:p>
        </w:tc>
      </w:tr>
    </w:tbl>
    <w:p w:rsidR="00000000" w:rsidRPr="009E4B1D" w:rsidP="009E4B1D">
      <w:pPr>
        <w:pStyle w:val="BodyText"/>
      </w:pPr>
    </w:p>
    <w:p w:rsidR="00000000" w:rsidRPr="009E4B1D" w:rsidP="009E4B1D">
      <w:pPr>
        <w:pStyle w:val="AllowPageBreak"/>
      </w:pPr>
    </w:p>
    <w:p w:rsidR="00000000" w:rsidRPr="009E4B1D" w:rsidP="009E4B1D">
      <w:pPr>
        <w:pStyle w:val="Heading1"/>
      </w:pPr>
      <w:bookmarkStart w:id="6" w:name="O_1070524"/>
      <w:bookmarkEnd w:id="6"/>
      <w:r w:rsidRPr="009E4B1D">
        <w:t>Foundation Skills</w:t>
      </w:r>
    </w:p>
    <w:p w:rsidR="00000000" w:rsidRPr="009E4B1D" w:rsidP="009B57BE">
      <w:pPr>
        <w:pStyle w:val="BodyText"/>
      </w:pPr>
      <w:r w:rsidRPr="009E4B1D">
        <w:t xml:space="preserve">Foundation skills essential to performance are explicit in the </w:t>
      </w:r>
      <w:r w:rsidRPr="009E4B1D">
        <w:t>performance criteria of this unit.</w:t>
      </w:r>
    </w:p>
    <w:p w:rsidR="00000000" w:rsidRPr="009E4B1D" w:rsidP="009E4B1D">
      <w:pPr>
        <w:pStyle w:val="Heading1"/>
      </w:pPr>
      <w:bookmarkStart w:id="7" w:name="O_1070526"/>
      <w:bookmarkEnd w:id="7"/>
      <w:r w:rsidRPr="009E4B1D">
        <w:t>Unit Mapping Information</w:t>
      </w:r>
    </w:p>
    <w:p w:rsidR="00000000" w:rsidRPr="009E4B1D" w:rsidP="009B57BE">
      <w:pPr>
        <w:pStyle w:val="BodyText"/>
      </w:pPr>
      <w:r w:rsidRPr="009E4B1D">
        <w:t>New unit.</w:t>
      </w:r>
    </w:p>
    <w:p w:rsidR="00000000" w:rsidRPr="009E4B1D" w:rsidP="009E4B1D">
      <w:pPr>
        <w:pStyle w:val="Heading1"/>
      </w:pPr>
      <w:bookmarkStart w:id="8" w:name="O_1070533"/>
      <w:bookmarkEnd w:id="8"/>
      <w:r w:rsidRPr="009E4B1D">
        <w:t>Links</w:t>
      </w:r>
    </w:p>
    <w:p w:rsidR="00000000" w:rsidRPr="009E4B1D" w:rsidP="009B57BE">
      <w:pPr>
        <w:pStyle w:val="BodyText"/>
      </w:pPr>
      <w:r w:rsidRPr="009E4B1D">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742C24">
        <w:rPr>
          <w:rStyle w:val="Hyperlink"/>
        </w:rPr>
        <w:t>https://vetnet.gov.au/Pages/TrainingDocs.aspx?q=5c63a03b-4a6b-4ae5-9560-1e3c5f462baa</w:t>
      </w:r>
      <w:r>
        <w:fldChar w:fldCharType="end"/>
      </w:r>
    </w:p>
    <w:p w:rsidR="00000000" w:rsidRPr="009E4B1D" w:rsidP="009B57BE">
      <w:pPr>
        <w:pStyle w:val="BodyText"/>
        <w:sectPr w:rsidSect="009E4B1D">
          <w:headerReference w:type="default" r:id="rId10"/>
          <w:footerReference w:type="default" r:id="rId11"/>
          <w:pgSz w:w="11908" w:h="16833"/>
          <w:pgMar w:top="1702" w:right="1418" w:bottom="1702" w:left="1418" w:header="992" w:footer="992" w:gutter="0"/>
          <w:cols w:space="720"/>
          <w:noEndnote/>
          <w:docGrid w:linePitch="299"/>
        </w:sectPr>
      </w:pPr>
    </w:p>
    <w:p w:rsidR="00000000" w:rsidRPr="009E4B1D" w:rsidP="009E4B1D">
      <w:pPr>
        <w:pStyle w:val="SuperHeading"/>
      </w:pPr>
      <w:r w:rsidRPr="009E4B1D">
        <w:t>Assessment Requirements for MSL974030 Process body fluid specimens using a point of care testing device</w:t>
      </w:r>
    </w:p>
    <w:p w:rsidR="00000000" w:rsidRPr="009E4B1D" w:rsidP="009E4B1D">
      <w:pPr>
        <w:pStyle w:val="Heading1"/>
      </w:pPr>
      <w:bookmarkStart w:id="9" w:name="O_1070528"/>
      <w:bookmarkEnd w:id="9"/>
      <w:r w:rsidRPr="009E4B1D">
        <w:t>Modification History</w:t>
      </w:r>
    </w:p>
    <w:p w:rsidR="00000000" w:rsidRPr="009E4B1D" w:rsidP="009B57BE">
      <w:pPr>
        <w:pStyle w:val="BodyText"/>
      </w:pPr>
      <w:r w:rsidRPr="009E4B1D">
        <w:t>Release 1. New Unit. This version was released with MSL Laboratory Operations Training Package, Release 3.0.</w:t>
      </w:r>
    </w:p>
    <w:p w:rsidR="00000000" w:rsidRPr="009E4B1D" w:rsidP="009E4B1D">
      <w:pPr>
        <w:pStyle w:val="Heading1"/>
      </w:pPr>
      <w:bookmarkStart w:id="10" w:name="O_1070529"/>
      <w:bookmarkEnd w:id="10"/>
      <w:r w:rsidRPr="009E4B1D">
        <w:t>Performance Evidence</w:t>
      </w:r>
    </w:p>
    <w:p w:rsidR="00000000" w:rsidRPr="009E4B1D" w:rsidP="009B57BE">
      <w:pPr>
        <w:pStyle w:val="BodyText"/>
      </w:pPr>
      <w:r w:rsidRPr="009E4B1D">
        <w:t>There must be evidence the candidate has completed the tasks outlined in the elements and performance crite</w:t>
      </w:r>
      <w:r w:rsidRPr="009E4B1D">
        <w:t>ria of this unit, and:</w:t>
      </w:r>
    </w:p>
    <w:p w:rsidR="00000000" w:rsidRPr="009E4B1D" w:rsidP="009E4B1D">
      <w:pPr>
        <w:pStyle w:val="ListBullet"/>
      </w:pPr>
      <w:r w:rsidRPr="009E4B1D">
        <w:t>used a PoCT device in accordance with standard operating procedures, and completed the following at least once:</w:t>
      </w:r>
    </w:p>
    <w:p w:rsidR="00000000" w:rsidRPr="009E4B1D" w:rsidP="009E4B1D">
      <w:pPr>
        <w:pStyle w:val="ListBullet2"/>
      </w:pPr>
      <w:r w:rsidRPr="009E4B1D">
        <w:t>specimen processing</w:t>
      </w:r>
    </w:p>
    <w:p w:rsidR="00000000" w:rsidRPr="009E4B1D" w:rsidP="009E4B1D">
      <w:pPr>
        <w:pStyle w:val="ListBullet2"/>
      </w:pPr>
      <w:r w:rsidRPr="009E4B1D">
        <w:t xml:space="preserve">device maintenance </w:t>
      </w:r>
    </w:p>
    <w:p w:rsidR="00000000" w:rsidRPr="009E4B1D" w:rsidP="009E4B1D">
      <w:pPr>
        <w:pStyle w:val="ListBullet2"/>
      </w:pPr>
      <w:r w:rsidRPr="009E4B1D">
        <w:t>a routine quality-control test.</w:t>
      </w:r>
    </w:p>
    <w:p w:rsidR="00000000" w:rsidRPr="009E4B1D" w:rsidP="009E4B1D">
      <w:pPr>
        <w:pStyle w:val="AllowPageBreak"/>
      </w:pPr>
    </w:p>
    <w:p w:rsidR="00000000" w:rsidRPr="009E4B1D" w:rsidP="009E4B1D">
      <w:pPr>
        <w:pStyle w:val="Heading1"/>
      </w:pPr>
      <w:bookmarkStart w:id="11" w:name="O_1070530"/>
      <w:bookmarkEnd w:id="11"/>
      <w:r w:rsidRPr="009E4B1D">
        <w:t>Knowledge Evidence</w:t>
      </w:r>
    </w:p>
    <w:p w:rsidR="00000000" w:rsidRPr="009E4B1D" w:rsidP="009B57BE">
      <w:pPr>
        <w:pStyle w:val="BodyText"/>
      </w:pPr>
      <w:r w:rsidRPr="009E4B1D">
        <w:t>There must be evidence the candidate has knowledge of:</w:t>
      </w:r>
    </w:p>
    <w:p w:rsidR="00000000" w:rsidRPr="009E4B1D" w:rsidP="009E4B1D">
      <w:pPr>
        <w:pStyle w:val="ListBullet"/>
      </w:pPr>
      <w:r w:rsidRPr="009E4B1D">
        <w:t xml:space="preserve">existence and purpose of national and international standards and guidelines for PoCT </w:t>
      </w:r>
    </w:p>
    <w:p w:rsidR="00000000" w:rsidRPr="009E4B1D" w:rsidP="009E4B1D">
      <w:pPr>
        <w:pStyle w:val="ListBullet"/>
      </w:pPr>
      <w:r w:rsidRPr="009E4B1D">
        <w:t>basic principles of quality assurance, the importance of a quality system, and key areas to be addressed:</w:t>
      </w:r>
    </w:p>
    <w:p w:rsidR="00000000" w:rsidRPr="009E4B1D" w:rsidP="009E4B1D">
      <w:pPr>
        <w:pStyle w:val="ListBullet2"/>
      </w:pPr>
      <w:r w:rsidRPr="009E4B1D">
        <w:t>qualit</w:t>
      </w:r>
      <w:r w:rsidRPr="009E4B1D">
        <w:t>y control</w:t>
      </w:r>
    </w:p>
    <w:p w:rsidR="00000000" w:rsidRPr="009E4B1D" w:rsidP="009E4B1D">
      <w:pPr>
        <w:pStyle w:val="ListBullet2"/>
      </w:pPr>
      <w:r w:rsidRPr="009E4B1D">
        <w:t>external quality-assurance program</w:t>
      </w:r>
    </w:p>
    <w:p w:rsidR="00000000" w:rsidRPr="009E4B1D" w:rsidP="009E4B1D">
      <w:pPr>
        <w:pStyle w:val="ListBullet2"/>
      </w:pPr>
      <w:r w:rsidRPr="009E4B1D">
        <w:t>traceability</w:t>
      </w:r>
    </w:p>
    <w:p w:rsidR="00000000" w:rsidRPr="009E4B1D" w:rsidP="009E4B1D">
      <w:pPr>
        <w:pStyle w:val="ListBullet2"/>
      </w:pPr>
      <w:r w:rsidRPr="009E4B1D">
        <w:t>documentation</w:t>
      </w:r>
    </w:p>
    <w:p w:rsidR="00000000" w:rsidRPr="009E4B1D" w:rsidP="009E4B1D">
      <w:pPr>
        <w:pStyle w:val="ListBullet2"/>
      </w:pPr>
      <w:r w:rsidRPr="009E4B1D">
        <w:t>roles and responsibilities</w:t>
      </w:r>
    </w:p>
    <w:p w:rsidR="00000000" w:rsidRPr="009E4B1D" w:rsidP="009E4B1D">
      <w:pPr>
        <w:pStyle w:val="ListBullet"/>
      </w:pPr>
      <w:r w:rsidRPr="009E4B1D">
        <w:t>different types of PoCT devices and their purpose, including knowledge of at least one device type that is used to measure each of the following:</w:t>
      </w:r>
    </w:p>
    <w:p w:rsidR="00000000" w:rsidRPr="009E4B1D" w:rsidP="009E4B1D">
      <w:pPr>
        <w:pStyle w:val="ListBullet2"/>
      </w:pPr>
      <w:r w:rsidRPr="009E4B1D">
        <w:t>glucose</w:t>
      </w:r>
    </w:p>
    <w:p w:rsidR="00000000" w:rsidRPr="009E4B1D" w:rsidP="009E4B1D">
      <w:pPr>
        <w:pStyle w:val="ListBullet2"/>
      </w:pPr>
      <w:r w:rsidRPr="009E4B1D">
        <w:t>haematological parameters</w:t>
      </w:r>
    </w:p>
    <w:p w:rsidR="00000000" w:rsidRPr="009E4B1D" w:rsidP="009E4B1D">
      <w:pPr>
        <w:pStyle w:val="ListBullet2"/>
      </w:pPr>
      <w:r w:rsidRPr="009E4B1D">
        <w:t>biochemical parameters</w:t>
      </w:r>
    </w:p>
    <w:p w:rsidR="00000000" w:rsidRPr="009E4B1D" w:rsidP="009E4B1D">
      <w:pPr>
        <w:pStyle w:val="ListBullet2"/>
      </w:pPr>
      <w:r w:rsidRPr="009E4B1D">
        <w:t>blood gas</w:t>
      </w:r>
    </w:p>
    <w:p w:rsidR="00000000" w:rsidRPr="009E4B1D" w:rsidP="009E4B1D">
      <w:pPr>
        <w:pStyle w:val="ListBullet"/>
      </w:pPr>
      <w:r w:rsidRPr="009E4B1D">
        <w:t>methods of patient identification and preparation</w:t>
      </w:r>
    </w:p>
    <w:p w:rsidR="00000000" w:rsidRPr="009E4B1D" w:rsidP="009E4B1D">
      <w:pPr>
        <w:pStyle w:val="ListBullet"/>
      </w:pPr>
      <w:r w:rsidRPr="009E4B1D">
        <w:t xml:space="preserve">specimen collection methods: </w:t>
      </w:r>
    </w:p>
    <w:p w:rsidR="00000000" w:rsidRPr="009E4B1D" w:rsidP="009E4B1D">
      <w:pPr>
        <w:pStyle w:val="ListBullet2"/>
      </w:pPr>
      <w:r w:rsidRPr="009E4B1D">
        <w:t>blood (capillary, venous, arterial)</w:t>
      </w:r>
    </w:p>
    <w:p w:rsidR="00000000" w:rsidRPr="009E4B1D" w:rsidP="009E4B1D">
      <w:pPr>
        <w:pStyle w:val="ListBullet2"/>
      </w:pPr>
      <w:r w:rsidRPr="009E4B1D">
        <w:t>urine</w:t>
      </w:r>
    </w:p>
    <w:p w:rsidR="00000000" w:rsidRPr="009E4B1D" w:rsidP="009E4B1D">
      <w:pPr>
        <w:pStyle w:val="ListBullet2"/>
      </w:pPr>
      <w:r w:rsidRPr="009E4B1D">
        <w:t>swab</w:t>
      </w:r>
    </w:p>
    <w:p w:rsidR="00000000" w:rsidRPr="009E4B1D" w:rsidP="009E4B1D">
      <w:pPr>
        <w:pStyle w:val="ListBullet"/>
      </w:pPr>
      <w:r w:rsidRPr="009E4B1D">
        <w:t>risk and safety requirements associated with the handling and dispo</w:t>
      </w:r>
      <w:r w:rsidRPr="009E4B1D">
        <w:t>sal of specimens</w:t>
      </w:r>
    </w:p>
    <w:p w:rsidR="00000000" w:rsidRPr="009E4B1D" w:rsidP="009E4B1D">
      <w:pPr>
        <w:pStyle w:val="ListBullet"/>
      </w:pPr>
      <w:r w:rsidRPr="009E4B1D">
        <w:t>operator tracking and its implications</w:t>
      </w:r>
    </w:p>
    <w:p w:rsidR="00000000" w:rsidRPr="009E4B1D" w:rsidP="009E4B1D">
      <w:pPr>
        <w:pStyle w:val="ListBullet"/>
      </w:pPr>
      <w:r w:rsidRPr="009E4B1D">
        <w:t>initial and ongoing operator training requirements</w:t>
      </w:r>
    </w:p>
    <w:p w:rsidR="00000000" w:rsidRPr="009E4B1D" w:rsidP="009E4B1D">
      <w:pPr>
        <w:pStyle w:val="ListBullet"/>
      </w:pPr>
      <w:r w:rsidRPr="009E4B1D">
        <w:t>common causes of variations in testing and results</w:t>
      </w:r>
    </w:p>
    <w:p w:rsidR="00000000" w:rsidRPr="009E4B1D" w:rsidP="009E4B1D">
      <w:pPr>
        <w:pStyle w:val="ListBullet"/>
      </w:pPr>
      <w:r w:rsidRPr="009E4B1D">
        <w:t>how to recognise and report abnormal, clinically urgent and erroneous results</w:t>
      </w:r>
    </w:p>
    <w:p w:rsidR="00000000" w:rsidRPr="009E4B1D" w:rsidP="009E4B1D">
      <w:pPr>
        <w:pStyle w:val="ListBullet"/>
      </w:pPr>
      <w:r w:rsidRPr="009E4B1D">
        <w:t>difference between reportable range and reference interval</w:t>
      </w:r>
    </w:p>
    <w:p w:rsidR="00000000" w:rsidRPr="009E4B1D" w:rsidP="009E4B1D">
      <w:pPr>
        <w:pStyle w:val="ListBullet"/>
      </w:pPr>
      <w:r w:rsidRPr="009E4B1D">
        <w:t>limitations of comparing results from different types of devices</w:t>
      </w:r>
    </w:p>
    <w:p w:rsidR="00000000" w:rsidRPr="009E4B1D" w:rsidP="009E4B1D">
      <w:pPr>
        <w:pStyle w:val="ListBullet"/>
      </w:pPr>
      <w:r w:rsidRPr="009E4B1D">
        <w:t>standard operating procedures for the PoCT device being used:</w:t>
      </w:r>
    </w:p>
    <w:p w:rsidR="00000000" w:rsidRPr="009E4B1D" w:rsidP="009E4B1D">
      <w:pPr>
        <w:pStyle w:val="ListBullet2"/>
      </w:pPr>
      <w:r w:rsidRPr="009E4B1D">
        <w:t>methods of patient identification and preparation</w:t>
      </w:r>
    </w:p>
    <w:p w:rsidR="00000000" w:rsidRPr="009E4B1D" w:rsidP="009E4B1D">
      <w:pPr>
        <w:pStyle w:val="ListBullet2"/>
      </w:pPr>
      <w:r w:rsidRPr="009E4B1D">
        <w:t>confirming suitabil</w:t>
      </w:r>
      <w:r w:rsidRPr="009E4B1D">
        <w:t>ity for testing and potential impacting factors:</w:t>
      </w:r>
    </w:p>
    <w:p w:rsidR="00000000" w:rsidRPr="009E4B1D" w:rsidP="009E4B1D">
      <w:pPr>
        <w:pStyle w:val="ListBullet3"/>
      </w:pPr>
      <w:r w:rsidRPr="009E4B1D">
        <w:t>collection parameters</w:t>
      </w:r>
    </w:p>
    <w:p w:rsidR="00000000" w:rsidRPr="009E4B1D" w:rsidP="009E4B1D">
      <w:pPr>
        <w:pStyle w:val="ListBullet3"/>
      </w:pPr>
      <w:r w:rsidRPr="009E4B1D">
        <w:t>patient preparation</w:t>
      </w:r>
    </w:p>
    <w:p w:rsidR="00000000" w:rsidRPr="009E4B1D" w:rsidP="009E4B1D">
      <w:pPr>
        <w:pStyle w:val="ListBullet3"/>
      </w:pPr>
      <w:r w:rsidRPr="009E4B1D">
        <w:t>specimen volume</w:t>
      </w:r>
    </w:p>
    <w:p w:rsidR="00000000" w:rsidRPr="009E4B1D" w:rsidP="009E4B1D">
      <w:pPr>
        <w:pStyle w:val="ListBullet3"/>
      </w:pPr>
      <w:r w:rsidRPr="009E4B1D">
        <w:t>specimen identification</w:t>
      </w:r>
    </w:p>
    <w:p w:rsidR="00000000" w:rsidRPr="009E4B1D" w:rsidP="009E4B1D">
      <w:pPr>
        <w:pStyle w:val="ListBullet2"/>
      </w:pPr>
      <w:r w:rsidRPr="009E4B1D">
        <w:t>device operation, quality control requirements and navigation</w:t>
      </w:r>
    </w:p>
    <w:p w:rsidR="00000000" w:rsidRPr="009E4B1D" w:rsidP="009E4B1D">
      <w:pPr>
        <w:pStyle w:val="ListBullet2"/>
      </w:pPr>
      <w:r w:rsidRPr="009E4B1D">
        <w:t>safety and personal protective equipment requirements for handling and disposal of reagents</w:t>
      </w:r>
    </w:p>
    <w:p w:rsidR="00000000" w:rsidRPr="009E4B1D" w:rsidP="009E4B1D">
      <w:pPr>
        <w:pStyle w:val="ListBullet2"/>
      </w:pPr>
      <w:r w:rsidRPr="009E4B1D">
        <w:t>consumables and reagents storage and stability</w:t>
      </w:r>
    </w:p>
    <w:p w:rsidR="00000000" w:rsidRPr="009E4B1D" w:rsidP="009E4B1D">
      <w:pPr>
        <w:pStyle w:val="ListBullet2"/>
      </w:pPr>
      <w:r w:rsidRPr="009E4B1D">
        <w:t xml:space="preserve">device troubleshooting </w:t>
      </w:r>
    </w:p>
    <w:p w:rsidR="00000000" w:rsidRPr="009E4B1D" w:rsidP="009E4B1D">
      <w:pPr>
        <w:pStyle w:val="ListBullet2"/>
      </w:pPr>
      <w:r w:rsidRPr="009E4B1D">
        <w:t>recording of results</w:t>
      </w:r>
    </w:p>
    <w:p w:rsidR="00000000" w:rsidRPr="009E4B1D" w:rsidP="009E4B1D">
      <w:pPr>
        <w:pStyle w:val="ListBullet2"/>
      </w:pPr>
      <w:r w:rsidRPr="009E4B1D">
        <w:t>reporting of issues outside area of responsibility:</w:t>
      </w:r>
    </w:p>
    <w:p w:rsidR="00000000" w:rsidRPr="009E4B1D" w:rsidP="009E4B1D">
      <w:pPr>
        <w:pStyle w:val="ListBullet3"/>
      </w:pPr>
      <w:r w:rsidRPr="009E4B1D">
        <w:t>device failure</w:t>
      </w:r>
    </w:p>
    <w:p w:rsidR="00000000" w:rsidRPr="009E4B1D" w:rsidP="009E4B1D">
      <w:pPr>
        <w:pStyle w:val="ListBullet3"/>
      </w:pPr>
      <w:r w:rsidRPr="009E4B1D">
        <w:t>qual</w:t>
      </w:r>
      <w:r w:rsidRPr="009E4B1D">
        <w:t>ity control</w:t>
      </w:r>
    </w:p>
    <w:p w:rsidR="00000000" w:rsidRPr="009E4B1D" w:rsidP="009E4B1D">
      <w:pPr>
        <w:pStyle w:val="ListBullet3"/>
      </w:pPr>
      <w:r w:rsidRPr="009E4B1D">
        <w:t>need for technology updates</w:t>
      </w:r>
    </w:p>
    <w:p w:rsidR="00000000" w:rsidRPr="009E4B1D" w:rsidP="009E4B1D">
      <w:pPr>
        <w:pStyle w:val="ListBullet2"/>
      </w:pPr>
      <w:r w:rsidRPr="009E4B1D">
        <w:t>device cleaning and minor maintenance, including servicing requirements</w:t>
      </w:r>
    </w:p>
    <w:p w:rsidR="00000000" w:rsidRPr="009E4B1D" w:rsidP="009E4B1D">
      <w:pPr>
        <w:pStyle w:val="AllowPageBreak"/>
      </w:pPr>
    </w:p>
    <w:p w:rsidR="00000000" w:rsidRPr="009E4B1D" w:rsidP="009E4B1D">
      <w:pPr>
        <w:pStyle w:val="Heading1"/>
      </w:pPr>
      <w:bookmarkStart w:id="12" w:name="O_1070531"/>
      <w:bookmarkEnd w:id="12"/>
      <w:r w:rsidRPr="009E4B1D">
        <w:t>Assessment Conditions</w:t>
      </w:r>
    </w:p>
    <w:p w:rsidR="00000000" w:rsidRPr="009E4B1D" w:rsidP="009B57BE">
      <w:pPr>
        <w:pStyle w:val="BodyText"/>
      </w:pPr>
      <w:r w:rsidRPr="009E4B1D">
        <w:t xml:space="preserve">Skills must have been demonstrated in the workplace or in a simulated environment that reflects workplace conditions and contingencies. The following conditions must be met for this unit: </w:t>
      </w:r>
    </w:p>
    <w:p w:rsidR="00000000" w:rsidRPr="009E4B1D" w:rsidP="009E4B1D">
      <w:pPr>
        <w:pStyle w:val="ListBullet"/>
      </w:pPr>
      <w:r w:rsidRPr="009E4B1D">
        <w:t>use of suitable facilities, equipment and resources, including:</w:t>
      </w:r>
    </w:p>
    <w:p w:rsidR="00000000" w:rsidRPr="009E4B1D" w:rsidP="009E4B1D">
      <w:pPr>
        <w:pStyle w:val="ListBullet2"/>
      </w:pPr>
      <w:r w:rsidRPr="009E4B1D">
        <w:t>P</w:t>
      </w:r>
      <w:r w:rsidRPr="009E4B1D">
        <w:t>oCT device and associated consumables</w:t>
      </w:r>
    </w:p>
    <w:p w:rsidR="00000000" w:rsidRPr="009E4B1D" w:rsidP="009E4B1D">
      <w:pPr>
        <w:pStyle w:val="ListBullet2"/>
      </w:pPr>
      <w:r w:rsidRPr="009E4B1D">
        <w:t>specimens for testing</w:t>
      </w:r>
    </w:p>
    <w:p w:rsidR="00000000" w:rsidRPr="009E4B1D" w:rsidP="009E4B1D">
      <w:pPr>
        <w:pStyle w:val="ListBullet2"/>
      </w:pPr>
      <w:r w:rsidRPr="009E4B1D">
        <w:t xml:space="preserve">standard operating procedures </w:t>
      </w:r>
    </w:p>
    <w:p w:rsidR="00000000" w:rsidRPr="009E4B1D" w:rsidP="009E4B1D">
      <w:pPr>
        <w:pStyle w:val="ListBullet2"/>
      </w:pPr>
      <w:r w:rsidRPr="009E4B1D">
        <w:t>PPE and infection prevention procedures for PoCT.</w:t>
      </w:r>
    </w:p>
    <w:p w:rsidR="00000000" w:rsidRPr="009E4B1D" w:rsidP="009B57BE">
      <w:pPr>
        <w:pStyle w:val="BodyText"/>
      </w:pPr>
      <w:r w:rsidRPr="009E4B1D">
        <w:t>Assessors must satisfy the NVR/AQTF mandatory competency requirements for assessors.</w:t>
      </w:r>
    </w:p>
    <w:p w:rsidR="00000000" w:rsidRPr="009E4B1D" w:rsidP="009E4B1D">
      <w:pPr>
        <w:pStyle w:val="Heading1"/>
      </w:pPr>
      <w:bookmarkStart w:id="13" w:name="O_1070534"/>
      <w:bookmarkEnd w:id="13"/>
      <w:r w:rsidRPr="009E4B1D">
        <w:t>Links</w:t>
      </w:r>
    </w:p>
    <w:p w:rsidR="00000000" w:rsidRPr="009E4B1D" w:rsidP="009B57BE">
      <w:pPr>
        <w:pStyle w:val="BodyText"/>
      </w:pPr>
      <w:r w:rsidRPr="009E4B1D">
        <w:t>Compa</w:t>
      </w:r>
      <w:r w:rsidRPr="009E4B1D">
        <w:t xml:space="preserve">nion Volume implementation guides are found in VETNet - </w:t>
      </w:r>
      <w:r>
        <w:fldChar w:fldCharType="begin"/>
      </w:r>
      <w:r>
        <w:instrText xml:space="preserve"> HYPERLINK "https://vetnet.gov.au/Pages/TrainingDocs.aspx?q=5c63a03b-4a6b-4ae5-9560-1e3c5f462baa" </w:instrText>
      </w:r>
      <w:r>
        <w:fldChar w:fldCharType="separate"/>
      </w:r>
      <w:r w:rsidRPr="00742C24">
        <w:rPr>
          <w:rStyle w:val="Hyperlink"/>
        </w:rPr>
        <w:t>https://vetnet.gov.au/Pages/TrainingDocs.aspx?q=5c63a03b-4a6b-4ae5-9560-1e3c5f462baa</w:t>
      </w:r>
      <w:r>
        <w:fldChar w:fldCharType="end"/>
      </w:r>
    </w:p>
    <w:p w:rsidR="00000000" w:rsidRPr="009E4B1D" w:rsidP="009E4B1D"/>
    <w:sectPr w:rsidSect="009E4B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B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B1D" w:rsidRPr="009B57BE" w:rsidP="009B57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B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7BE" w:rsidP="009E4B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57BE" w:rsidP="009E4B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B57BE" w:rsidP="009E4B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B1D" w:rsidP="009E4B1D">
    <w:pPr>
      <w:pStyle w:val="Footer"/>
      <w:framePr w:wrap="around"/>
    </w:pPr>
    <w:r>
      <w:fldChar w:fldCharType="begin"/>
    </w:r>
    <w:r>
      <w:instrText xml:space="preserve"> DOCPROPERTY  Subject  \* MERGEFORMAT </w:instrText>
    </w:r>
    <w:r>
      <w:fldChar w:fldCharType="separate"/>
    </w:r>
    <w:r w:rsidR="009B57BE">
      <w:t>Approved</w:t>
    </w:r>
    <w:r w:rsidR="009B57BE">
      <w:fldChar w:fldCharType="end"/>
    </w:r>
    <w:r>
      <w:tab/>
      <w:t xml:space="preserve">Page </w:t>
    </w:r>
    <w:r>
      <w:fldChar w:fldCharType="begin"/>
    </w:r>
    <w:r>
      <w:instrText xml:space="preserve"> PAGE  \* Arabic  \* MERGEFORMAT </w:instrText>
    </w:r>
    <w:r>
      <w:fldChar w:fldCharType="separate"/>
    </w:r>
    <w:r w:rsidR="009B57B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57BE">
      <w:rPr>
        <w:noProof/>
      </w:rPr>
      <w:t>4</w:t>
    </w:r>
    <w:r>
      <w:rPr>
        <w:noProof/>
      </w:rPr>
      <w:fldChar w:fldCharType="end"/>
    </w:r>
  </w:p>
  <w:p w:rsidR="009E4B1D" w:rsidP="009E4B1D">
    <w:pPr>
      <w:pStyle w:val="Footer"/>
      <w:framePr w:wrap="around"/>
    </w:pPr>
    <w:r>
      <w:t xml:space="preserve">© Commonwealth of Australia, </w:t>
    </w:r>
    <w:r>
      <w:fldChar w:fldCharType="begin"/>
    </w:r>
    <w:r>
      <w:instrText xml:space="preserve"> DATE  \@ "yyyy"  \* MERGEFORMAT </w:instrText>
    </w:r>
    <w:r>
      <w:fldChar w:fldCharType="separate"/>
    </w:r>
    <w:r w:rsidR="009B57BE">
      <w:rPr>
        <w:noProof/>
      </w:rPr>
      <w:t>2025</w:t>
    </w:r>
    <w:r>
      <w:fldChar w:fldCharType="end"/>
    </w:r>
    <w:r>
      <w:tab/>
    </w:r>
    <w:r>
      <w:fldChar w:fldCharType="begin"/>
    </w:r>
    <w:r>
      <w:instrText xml:space="preserve"> DOCPROPERTY  Author  \* MERGEFORMAT </w:instrText>
    </w:r>
    <w:r>
      <w:fldChar w:fldCharType="separate"/>
    </w:r>
    <w:r w:rsidR="009B57BE">
      <w:t>Manufacturing Industry Skills Alliance</w:t>
    </w:r>
    <w:r w:rsidR="009B57BE">
      <w:fldChar w:fldCharType="end"/>
    </w:r>
  </w:p>
  <w:p w:rsidR="009E4B1D" w:rsidP="009E4B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B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7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4B1D" w:rsidRPr="009B57BE" w:rsidP="009B57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B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7BE" w:rsidRPr="002D2AF8" w:rsidP="009E4B1D">
    <w:pPr>
      <w:pStyle w:val="Header"/>
      <w:framePr w:wrap="around"/>
    </w:pPr>
    <w:r>
      <w:fldChar w:fldCharType="begin"/>
    </w:r>
    <w:r>
      <w:instrText xml:space="preserve"> TITLE   \* MERGEFORMAT </w:instrText>
    </w:r>
    <w:r>
      <w:fldChar w:fldCharType="separate"/>
    </w:r>
    <w:r>
      <w:t>MSL974030 Process body fluid specimens using a point of care testing device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B57BE" w:rsidP="009E4B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B1D" w:rsidRPr="002D2AF8" w:rsidP="009E4B1D">
    <w:pPr>
      <w:pStyle w:val="Header"/>
      <w:framePr w:wrap="around"/>
    </w:pPr>
    <w:r>
      <w:fldChar w:fldCharType="begin"/>
    </w:r>
    <w:r>
      <w:instrText xml:space="preserve"> TITLE   \* MERGEFORMAT </w:instrText>
    </w:r>
    <w:r>
      <w:fldChar w:fldCharType="separate"/>
    </w:r>
    <w:r w:rsidR="009B57BE">
      <w:t>MSL974030 Process body fluid specimens using a point of care testing device</w:t>
    </w:r>
    <w:r w:rsidR="009B57BE">
      <w:fldChar w:fldCharType="end"/>
    </w:r>
    <w:r>
      <w:tab/>
      <w:t xml:space="preserve">Date this document was generated: </w:t>
    </w:r>
    <w:r>
      <w:fldChar w:fldCharType="begin"/>
    </w:r>
    <w:r>
      <w:instrText xml:space="preserve"> CREATEDATE  \@ "d MMMM yyyy"  \* MERGEFORMAT </w:instrText>
    </w:r>
    <w:r>
      <w:fldChar w:fldCharType="separate"/>
    </w:r>
    <w:r w:rsidR="009B57BE">
      <w:rPr>
        <w:noProof/>
      </w:rPr>
      <w:t>2 March 2025</w:t>
    </w:r>
    <w:r>
      <w:fldChar w:fldCharType="end"/>
    </w:r>
  </w:p>
  <w:p w:rsidR="009E4B1D" w:rsidP="009E4B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FAA5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80EF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C2C9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B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4B1D"/>
    <w:pPr>
      <w:spacing w:before="360" w:after="60"/>
      <w:outlineLvl w:val="0"/>
    </w:pPr>
    <w:rPr>
      <w:sz w:val="32"/>
    </w:rPr>
  </w:style>
  <w:style w:type="paragraph" w:styleId="Heading2">
    <w:name w:val="heading 2"/>
    <w:basedOn w:val="HeadingBase"/>
    <w:next w:val="BodyText"/>
    <w:link w:val="Heading2Char"/>
    <w:qFormat/>
    <w:rsid w:val="009E4B1D"/>
    <w:pPr>
      <w:keepLines/>
      <w:spacing w:before="240" w:after="120"/>
      <w:outlineLvl w:val="1"/>
    </w:pPr>
    <w:rPr>
      <w:sz w:val="28"/>
      <w:szCs w:val="40"/>
    </w:rPr>
  </w:style>
  <w:style w:type="paragraph" w:styleId="Heading3">
    <w:name w:val="heading 3"/>
    <w:basedOn w:val="HeadingBase"/>
    <w:next w:val="BodyText"/>
    <w:link w:val="Heading3Char"/>
    <w:qFormat/>
    <w:rsid w:val="009E4B1D"/>
    <w:pPr>
      <w:spacing w:before="180" w:after="120"/>
      <w:outlineLvl w:val="2"/>
    </w:pPr>
    <w:rPr>
      <w:spacing w:val="-10"/>
      <w:kern w:val="32"/>
    </w:rPr>
  </w:style>
  <w:style w:type="paragraph" w:styleId="Heading4">
    <w:name w:val="heading 4"/>
    <w:basedOn w:val="HeadingBase"/>
    <w:next w:val="BodyText"/>
    <w:link w:val="Heading4Char"/>
    <w:qFormat/>
    <w:rsid w:val="009E4B1D"/>
    <w:pPr>
      <w:spacing w:before="160" w:after="120"/>
      <w:outlineLvl w:val="3"/>
    </w:pPr>
    <w:rPr>
      <w:sz w:val="22"/>
    </w:rPr>
  </w:style>
  <w:style w:type="paragraph" w:styleId="Heading5">
    <w:name w:val="heading 5"/>
    <w:basedOn w:val="HeadingBase"/>
    <w:next w:val="Normal"/>
    <w:link w:val="Heading5Char"/>
    <w:qFormat/>
    <w:rsid w:val="009E4B1D"/>
    <w:pPr>
      <w:spacing w:before="80"/>
      <w:outlineLvl w:val="4"/>
    </w:pPr>
    <w:rPr>
      <w:color w:val="918585"/>
      <w:sz w:val="20"/>
    </w:rPr>
  </w:style>
  <w:style w:type="paragraph" w:styleId="Heading6">
    <w:name w:val="heading 6"/>
    <w:basedOn w:val="HeadingBase"/>
    <w:next w:val="Normal"/>
    <w:link w:val="Heading6Char"/>
    <w:qFormat/>
    <w:rsid w:val="009E4B1D"/>
    <w:pPr>
      <w:spacing w:before="60"/>
      <w:outlineLvl w:val="5"/>
    </w:pPr>
    <w:rPr>
      <w:color w:val="918585"/>
      <w:sz w:val="20"/>
    </w:rPr>
  </w:style>
  <w:style w:type="paragraph" w:styleId="Heading7">
    <w:name w:val="heading 7"/>
    <w:basedOn w:val="Normal"/>
    <w:next w:val="Normal"/>
    <w:link w:val="Heading7Char"/>
    <w:qFormat/>
    <w:rsid w:val="009E4B1D"/>
    <w:pPr>
      <w:ind w:left="720"/>
      <w:outlineLvl w:val="6"/>
    </w:pPr>
    <w:rPr>
      <w:i/>
    </w:rPr>
  </w:style>
  <w:style w:type="paragraph" w:styleId="Heading8">
    <w:name w:val="heading 8"/>
    <w:basedOn w:val="Normal"/>
    <w:next w:val="Normal"/>
    <w:link w:val="Heading8Char"/>
    <w:qFormat/>
    <w:rsid w:val="009E4B1D"/>
    <w:pPr>
      <w:ind w:left="720"/>
      <w:outlineLvl w:val="7"/>
    </w:pPr>
    <w:rPr>
      <w:i/>
    </w:rPr>
  </w:style>
  <w:style w:type="paragraph" w:styleId="Heading9">
    <w:name w:val="heading 9"/>
    <w:basedOn w:val="Normal"/>
    <w:next w:val="Normal"/>
    <w:link w:val="Heading9Char"/>
    <w:qFormat/>
    <w:rsid w:val="009E4B1D"/>
    <w:pPr>
      <w:ind w:left="720"/>
      <w:outlineLvl w:val="8"/>
    </w:pPr>
    <w:rPr>
      <w:i/>
    </w:rPr>
  </w:style>
  <w:style w:type="character" w:default="1" w:styleId="DefaultParagraphFont">
    <w:name w:val="Default Paragraph Font"/>
    <w:uiPriority w:val="1"/>
    <w:unhideWhenUsed/>
    <w:rsid w:val="009E4B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4B1D"/>
  </w:style>
  <w:style w:type="character" w:customStyle="1" w:styleId="Heading1Char">
    <w:name w:val="Heading 1 Char"/>
    <w:basedOn w:val="DefaultParagraphFont"/>
    <w:link w:val="Heading1"/>
    <w:rsid w:val="009E4B1D"/>
    <w:rPr>
      <w:rFonts w:ascii="Times New Roman" w:eastAsia="Times New Roman" w:hAnsi="Times New Roman" w:cs="Times New Roman"/>
      <w:b/>
      <w:sz w:val="32"/>
      <w:szCs w:val="20"/>
      <w:lang w:eastAsia="en-US"/>
    </w:rPr>
  </w:style>
  <w:style w:type="paragraph" w:styleId="BodyText">
    <w:name w:val="Body Text"/>
    <w:basedOn w:val="Normal"/>
    <w:link w:val="BodyTextChar"/>
    <w:rsid w:val="009E4B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4B1D"/>
    <w:rPr>
      <w:rFonts w:ascii="Times New Roman" w:eastAsia="Times New Roman" w:hAnsi="Times New Roman" w:cs="Times New Roman"/>
      <w:sz w:val="24"/>
      <w:lang w:eastAsia="en-US"/>
    </w:rPr>
  </w:style>
  <w:style w:type="paragraph" w:styleId="ListBullet">
    <w:name w:val="List Bullet"/>
    <w:basedOn w:val="List"/>
    <w:rsid w:val="009E4B1D"/>
    <w:pPr>
      <w:numPr>
        <w:numId w:val="13"/>
      </w:numPr>
      <w:tabs>
        <w:tab w:val="clear" w:pos="340"/>
      </w:tabs>
      <w:spacing w:before="40" w:after="40"/>
    </w:pPr>
  </w:style>
  <w:style w:type="character" w:customStyle="1" w:styleId="SpecialBold">
    <w:name w:val="Special Bold"/>
    <w:basedOn w:val="DefaultParagraphFont"/>
    <w:rsid w:val="009E4B1D"/>
    <w:rPr>
      <w:b/>
      <w:spacing w:val="0"/>
    </w:rPr>
  </w:style>
  <w:style w:type="paragraph" w:styleId="ListBullet2">
    <w:name w:val="List Bullet 2"/>
    <w:basedOn w:val="List2"/>
    <w:rsid w:val="009E4B1D"/>
    <w:pPr>
      <w:numPr>
        <w:numId w:val="14"/>
      </w:numPr>
      <w:tabs>
        <w:tab w:val="clear" w:pos="680"/>
      </w:tabs>
    </w:pPr>
  </w:style>
  <w:style w:type="character" w:styleId="Emphasis">
    <w:name w:val="Emphasis"/>
    <w:basedOn w:val="DefaultParagraphFont"/>
    <w:qFormat/>
    <w:rsid w:val="009E4B1D"/>
    <w:rPr>
      <w:i/>
    </w:rPr>
  </w:style>
  <w:style w:type="paragraph" w:customStyle="1" w:styleId="SuperHeading">
    <w:name w:val="SuperHeading"/>
    <w:basedOn w:val="Normal"/>
    <w:rsid w:val="009E4B1D"/>
    <w:pPr>
      <w:spacing w:before="240" w:after="120"/>
      <w:outlineLvl w:val="0"/>
    </w:pPr>
    <w:rPr>
      <w:rFonts w:ascii="Times New Roman" w:hAnsi="Times New Roman"/>
      <w:b/>
      <w:sz w:val="32"/>
    </w:rPr>
  </w:style>
  <w:style w:type="paragraph" w:customStyle="1" w:styleId="AllowPageBreak">
    <w:name w:val="AllowPageBreak"/>
    <w:rsid w:val="009E4B1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E4B1D"/>
    <w:pPr>
      <w:numPr>
        <w:numId w:val="3"/>
      </w:numPr>
      <w:tabs>
        <w:tab w:val="clear" w:pos="1021"/>
      </w:tabs>
      <w:ind w:left="1037" w:hanging="357"/>
    </w:pPr>
  </w:style>
  <w:style w:type="character" w:customStyle="1" w:styleId="Heading2Char">
    <w:name w:val="Heading 2 Char"/>
    <w:basedOn w:val="DefaultParagraphFont"/>
    <w:link w:val="Heading2"/>
    <w:rsid w:val="009E4B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4B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4B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4B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4B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4B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4B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4B1D"/>
    <w:rPr>
      <w:rFonts w:ascii="Courier New" w:eastAsia="Times New Roman" w:hAnsi="Courier New" w:cs="Times New Roman"/>
      <w:i/>
      <w:szCs w:val="20"/>
      <w:lang w:eastAsia="en-US"/>
    </w:rPr>
  </w:style>
  <w:style w:type="paragraph" w:customStyle="1" w:styleId="HeadingBase">
    <w:name w:val="Heading Base"/>
    <w:rsid w:val="009E4B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4B1D"/>
    <w:pPr>
      <w:tabs>
        <w:tab w:val="right" w:leader="dot" w:pos="9072"/>
      </w:tabs>
      <w:ind w:left="567"/>
    </w:pPr>
    <w:rPr>
      <w:szCs w:val="22"/>
    </w:rPr>
  </w:style>
  <w:style w:type="paragraph" w:customStyle="1" w:styleId="TOCBase">
    <w:name w:val="TOC Base"/>
    <w:rsid w:val="009E4B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4B1D"/>
    <w:pPr>
      <w:tabs>
        <w:tab w:val="right" w:leader="dot" w:pos="9072"/>
      </w:tabs>
      <w:spacing w:before="40" w:after="40"/>
      <w:ind w:left="284"/>
    </w:pPr>
    <w:rPr>
      <w:rFonts w:ascii="Times New Roman" w:hAnsi="Times New Roman"/>
    </w:rPr>
  </w:style>
  <w:style w:type="paragraph" w:styleId="TOC1">
    <w:name w:val="toc 1"/>
    <w:basedOn w:val="TOCBase"/>
    <w:next w:val="Normal"/>
    <w:rsid w:val="009E4B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4B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4B1D"/>
    <w:rPr>
      <w:rFonts w:ascii="Times New Roman" w:eastAsia="Times New Roman" w:hAnsi="Times New Roman" w:cs="Times New Roman"/>
      <w:sz w:val="16"/>
      <w:lang w:eastAsia="en-US"/>
    </w:rPr>
  </w:style>
  <w:style w:type="paragraph" w:styleId="Title">
    <w:name w:val="Title"/>
    <w:basedOn w:val="HeadingBase"/>
    <w:link w:val="TitleChar"/>
    <w:qFormat/>
    <w:rsid w:val="009E4B1D"/>
    <w:pPr>
      <w:spacing w:before="5040"/>
      <w:jc w:val="center"/>
    </w:pPr>
    <w:rPr>
      <w:sz w:val="48"/>
      <w:szCs w:val="72"/>
      <w:lang w:val="en-US"/>
    </w:rPr>
  </w:style>
  <w:style w:type="character" w:customStyle="1" w:styleId="TitleChar">
    <w:name w:val="Title Char"/>
    <w:basedOn w:val="DefaultParagraphFont"/>
    <w:link w:val="Title"/>
    <w:rsid w:val="009E4B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4B1D"/>
    <w:pPr>
      <w:tabs>
        <w:tab w:val="left" w:pos="3600"/>
        <w:tab w:val="left" w:pos="3958"/>
      </w:tabs>
    </w:pPr>
  </w:style>
  <w:style w:type="paragraph" w:styleId="List">
    <w:name w:val="List"/>
    <w:basedOn w:val="BodyText"/>
    <w:next w:val="BodyText"/>
    <w:rsid w:val="009E4B1D"/>
    <w:pPr>
      <w:tabs>
        <w:tab w:val="left" w:pos="340"/>
      </w:tabs>
      <w:spacing w:before="60" w:after="60"/>
      <w:ind w:left="340" w:hanging="340"/>
    </w:pPr>
  </w:style>
  <w:style w:type="paragraph" w:customStyle="1" w:styleId="Note">
    <w:name w:val="Note"/>
    <w:basedOn w:val="BodyText"/>
    <w:rsid w:val="009E4B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4B1D"/>
    <w:pPr>
      <w:framePr w:wrap="auto" w:hAnchor="text" w:y="6049"/>
    </w:pPr>
    <w:rPr>
      <w:color w:val="000000"/>
      <w:sz w:val="40"/>
    </w:rPr>
  </w:style>
  <w:style w:type="paragraph" w:customStyle="1" w:styleId="TOCTitle">
    <w:name w:val="TOCTitle"/>
    <w:basedOn w:val="Heading1"/>
    <w:rsid w:val="009E4B1D"/>
    <w:pPr>
      <w:spacing w:after="240"/>
      <w:jc w:val="center"/>
      <w:outlineLvl w:val="9"/>
    </w:pPr>
    <w:rPr>
      <w:caps/>
    </w:rPr>
  </w:style>
  <w:style w:type="paragraph" w:customStyle="1" w:styleId="Version">
    <w:name w:val="Version"/>
    <w:rsid w:val="009E4B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4B1D"/>
    <w:pPr>
      <w:keepNext w:val="0"/>
      <w:tabs>
        <w:tab w:val="right" w:pos="4176"/>
      </w:tabs>
      <w:ind w:left="198" w:hanging="198"/>
    </w:pPr>
    <w:rPr>
      <w:rFonts w:ascii="Garamond" w:hAnsi="Garamond"/>
    </w:rPr>
  </w:style>
  <w:style w:type="paragraph" w:styleId="IndexHeading">
    <w:name w:val="index heading"/>
    <w:basedOn w:val="Normal"/>
    <w:next w:val="Index1"/>
    <w:semiHidden/>
    <w:rsid w:val="009E4B1D"/>
    <w:pPr>
      <w:spacing w:before="120" w:after="120"/>
    </w:pPr>
    <w:rPr>
      <w:rFonts w:ascii="Arial" w:hAnsi="Arial"/>
      <w:b/>
      <w:color w:val="918585"/>
      <w:sz w:val="24"/>
    </w:rPr>
  </w:style>
  <w:style w:type="paragraph" w:styleId="Header">
    <w:name w:val="header"/>
    <w:basedOn w:val="Normal"/>
    <w:link w:val="HeaderChar"/>
    <w:rsid w:val="009E4B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4B1D"/>
    <w:rPr>
      <w:rFonts w:ascii="Times New Roman" w:eastAsia="Times New Roman" w:hAnsi="Times New Roman" w:cs="Times New Roman"/>
      <w:sz w:val="16"/>
      <w:szCs w:val="20"/>
      <w:lang w:val="en-GB" w:eastAsia="en-US"/>
    </w:rPr>
  </w:style>
  <w:style w:type="paragraph" w:customStyle="1" w:styleId="Chapter">
    <w:name w:val="Chapter"/>
    <w:basedOn w:val="Normal"/>
    <w:rsid w:val="009E4B1D"/>
    <w:pPr>
      <w:spacing w:before="240"/>
    </w:pPr>
    <w:rPr>
      <w:rFonts w:ascii="Times New Roman" w:hAnsi="Times New Roman"/>
      <w:smallCaps/>
      <w:spacing w:val="80"/>
      <w:sz w:val="28"/>
    </w:rPr>
  </w:style>
  <w:style w:type="paragraph" w:customStyle="1" w:styleId="InChapter">
    <w:name w:val="InChapter"/>
    <w:basedOn w:val="Heading3"/>
    <w:rsid w:val="009E4B1D"/>
    <w:pPr>
      <w:spacing w:after="240"/>
      <w:outlineLvl w:val="9"/>
    </w:pPr>
    <w:rPr>
      <w:noProof/>
    </w:rPr>
  </w:style>
  <w:style w:type="paragraph" w:styleId="Index2">
    <w:name w:val="index 2"/>
    <w:basedOn w:val="Normal"/>
    <w:next w:val="Normal"/>
    <w:semiHidden/>
    <w:rsid w:val="009E4B1D"/>
    <w:pPr>
      <w:tabs>
        <w:tab w:val="right" w:pos="4176"/>
      </w:tabs>
      <w:ind w:left="568" w:hanging="284"/>
    </w:pPr>
    <w:rPr>
      <w:rFonts w:ascii="Garamond" w:hAnsi="Garamond"/>
    </w:rPr>
  </w:style>
  <w:style w:type="paragraph" w:customStyle="1" w:styleId="Byline">
    <w:name w:val="Byline"/>
    <w:rsid w:val="009E4B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4B1D"/>
    <w:pPr>
      <w:tabs>
        <w:tab w:val="clear" w:pos="3600"/>
        <w:tab w:val="clear" w:pos="3958"/>
      </w:tabs>
      <w:jc w:val="right"/>
    </w:pPr>
  </w:style>
  <w:style w:type="paragraph" w:styleId="Caption">
    <w:name w:val="caption"/>
    <w:basedOn w:val="BodyText"/>
    <w:next w:val="Normal"/>
    <w:qFormat/>
    <w:rsid w:val="009E4B1D"/>
    <w:pPr>
      <w:framePr w:w="2268" w:hSpace="181" w:vSpace="181" w:wrap="around" w:vAnchor="text" w:hAnchor="page" w:x="1135" w:y="285" w:anchorLock="1"/>
    </w:pPr>
    <w:rPr>
      <w:i/>
    </w:rPr>
  </w:style>
  <w:style w:type="paragraph" w:customStyle="1" w:styleId="MiniTOCTitle">
    <w:name w:val="MiniTOCTitle"/>
    <w:basedOn w:val="Heading4"/>
    <w:rsid w:val="009E4B1D"/>
    <w:pPr>
      <w:spacing w:before="240"/>
      <w:outlineLvl w:val="9"/>
    </w:pPr>
    <w:rPr>
      <w:noProof/>
      <w:sz w:val="24"/>
    </w:rPr>
  </w:style>
  <w:style w:type="paragraph" w:customStyle="1" w:styleId="MiniTOCItem">
    <w:name w:val="MiniTOCItem"/>
    <w:basedOn w:val="ListBullet"/>
    <w:rsid w:val="009E4B1D"/>
    <w:pPr>
      <w:numPr>
        <w:numId w:val="0"/>
      </w:numPr>
      <w:tabs>
        <w:tab w:val="right" w:leader="dot" w:pos="6521"/>
      </w:tabs>
      <w:spacing w:before="0" w:after="0"/>
    </w:pPr>
  </w:style>
  <w:style w:type="paragraph" w:customStyle="1" w:styleId="TOFTitle">
    <w:name w:val="TOFTitle"/>
    <w:basedOn w:val="TOCTitle"/>
    <w:rsid w:val="009E4B1D"/>
  </w:style>
  <w:style w:type="paragraph" w:styleId="TableofFigures">
    <w:name w:val="table of figures"/>
    <w:basedOn w:val="Normal"/>
    <w:next w:val="Normal"/>
    <w:semiHidden/>
    <w:rsid w:val="009E4B1D"/>
    <w:pPr>
      <w:tabs>
        <w:tab w:val="right" w:leader="dot" w:pos="9072"/>
      </w:tabs>
      <w:ind w:left="970" w:hanging="403"/>
    </w:pPr>
    <w:rPr>
      <w:rFonts w:ascii="Times New Roman" w:hAnsi="Times New Roman"/>
      <w:b/>
    </w:rPr>
  </w:style>
  <w:style w:type="paragraph" w:styleId="ListNumber">
    <w:name w:val="List Number"/>
    <w:basedOn w:val="List"/>
    <w:rsid w:val="009E4B1D"/>
    <w:pPr>
      <w:numPr>
        <w:numId w:val="16"/>
      </w:numPr>
      <w:tabs>
        <w:tab w:val="clear" w:pos="340"/>
      </w:tabs>
    </w:pPr>
  </w:style>
  <w:style w:type="character" w:customStyle="1" w:styleId="WingdingSymbols">
    <w:name w:val="Wingding Symbols"/>
    <w:rsid w:val="009E4B1D"/>
    <w:rPr>
      <w:rFonts w:ascii="Wingdings" w:hAnsi="Wingdings"/>
    </w:rPr>
  </w:style>
  <w:style w:type="paragraph" w:customStyle="1" w:styleId="TableHeading">
    <w:name w:val="Table Heading"/>
    <w:basedOn w:val="HeadingBase"/>
    <w:rsid w:val="009E4B1D"/>
    <w:pPr>
      <w:keepLines/>
      <w:pBdr>
        <w:bottom w:val="single" w:sz="6" w:space="1" w:color="918585"/>
      </w:pBdr>
      <w:spacing w:before="240"/>
    </w:pPr>
  </w:style>
  <w:style w:type="character" w:customStyle="1" w:styleId="HotSpot">
    <w:name w:val="HotSpot"/>
    <w:rsid w:val="009E4B1D"/>
    <w:rPr>
      <w:color w:val="0033CC"/>
      <w:u w:val="none"/>
    </w:rPr>
  </w:style>
  <w:style w:type="paragraph" w:customStyle="1" w:styleId="BodyTextRight">
    <w:name w:val="Body Text Right"/>
    <w:basedOn w:val="BodyText"/>
    <w:rsid w:val="009E4B1D"/>
    <w:pPr>
      <w:spacing w:before="0" w:after="0"/>
      <w:jc w:val="right"/>
    </w:pPr>
  </w:style>
  <w:style w:type="paragraph" w:styleId="Index3">
    <w:name w:val="index 3"/>
    <w:basedOn w:val="ListNumber2"/>
    <w:next w:val="Normal"/>
    <w:semiHidden/>
    <w:rsid w:val="009E4B1D"/>
    <w:pPr>
      <w:numPr>
        <w:numId w:val="0"/>
      </w:numPr>
      <w:tabs>
        <w:tab w:val="right" w:leader="dot" w:pos="4176"/>
      </w:tabs>
    </w:pPr>
  </w:style>
  <w:style w:type="paragraph" w:styleId="ListNumber2">
    <w:name w:val="List Number 2"/>
    <w:basedOn w:val="List2"/>
    <w:rsid w:val="009E4B1D"/>
    <w:pPr>
      <w:numPr>
        <w:numId w:val="11"/>
      </w:numPr>
      <w:tabs>
        <w:tab w:val="clear" w:pos="1060"/>
      </w:tabs>
    </w:pPr>
  </w:style>
  <w:style w:type="paragraph" w:customStyle="1" w:styleId="MarginNote">
    <w:name w:val="Margin Note"/>
    <w:basedOn w:val="BodyText"/>
    <w:rsid w:val="009E4B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4B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4B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4B1D"/>
    <w:rPr>
      <w:sz w:val="32"/>
    </w:rPr>
  </w:style>
  <w:style w:type="paragraph" w:customStyle="1" w:styleId="HeadingProcedure">
    <w:name w:val="Heading Procedure"/>
    <w:basedOn w:val="HeadingBase"/>
    <w:next w:val="Normal"/>
    <w:rsid w:val="009E4B1D"/>
    <w:pPr>
      <w:tabs>
        <w:tab w:val="left" w:pos="0"/>
      </w:tabs>
      <w:spacing w:before="120" w:after="60"/>
    </w:pPr>
    <w:rPr>
      <w:i/>
      <w:color w:val="918585"/>
      <w:sz w:val="22"/>
    </w:rPr>
  </w:style>
  <w:style w:type="paragraph" w:customStyle="1" w:styleId="TableBodyText">
    <w:name w:val="Table Body Text"/>
    <w:basedOn w:val="BodyText"/>
    <w:rsid w:val="009E4B1D"/>
    <w:pPr>
      <w:spacing w:before="60" w:after="60"/>
    </w:pPr>
  </w:style>
  <w:style w:type="paragraph" w:styleId="ListContinue">
    <w:name w:val="List Continue"/>
    <w:basedOn w:val="List"/>
    <w:rsid w:val="009E4B1D"/>
    <w:pPr>
      <w:ind w:firstLine="0"/>
    </w:pPr>
  </w:style>
  <w:style w:type="paragraph" w:customStyle="1" w:styleId="ListNote">
    <w:name w:val="List Note"/>
    <w:basedOn w:val="List"/>
    <w:rsid w:val="009E4B1D"/>
    <w:pPr>
      <w:pBdr>
        <w:top w:val="single" w:sz="6" w:space="2" w:color="918585"/>
        <w:bottom w:val="single" w:sz="6" w:space="2" w:color="918585"/>
      </w:pBdr>
      <w:tabs>
        <w:tab w:val="left" w:pos="1021"/>
      </w:tabs>
      <w:ind w:firstLine="0"/>
    </w:pPr>
  </w:style>
  <w:style w:type="paragraph" w:customStyle="1" w:styleId="Warning">
    <w:name w:val="Warning"/>
    <w:basedOn w:val="BodyText"/>
    <w:rsid w:val="009E4B1D"/>
    <w:pPr>
      <w:shd w:val="clear" w:color="auto" w:fill="D9D9D9"/>
      <w:tabs>
        <w:tab w:val="left" w:pos="992"/>
      </w:tabs>
      <w:ind w:left="119" w:right="119"/>
    </w:pPr>
    <w:rPr>
      <w:sz w:val="20"/>
    </w:rPr>
  </w:style>
  <w:style w:type="paragraph" w:customStyle="1" w:styleId="MarginIcons">
    <w:name w:val="Margin Icons"/>
    <w:basedOn w:val="BodyText"/>
    <w:rsid w:val="009E4B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4B1D"/>
    <w:rPr>
      <w:rFonts w:ascii="Courier New" w:hAnsi="Courier New"/>
    </w:rPr>
  </w:style>
  <w:style w:type="paragraph" w:customStyle="1" w:styleId="NoteBullet">
    <w:name w:val="Note Bullet"/>
    <w:basedOn w:val="Note"/>
    <w:rsid w:val="009E4B1D"/>
    <w:pPr>
      <w:tabs>
        <w:tab w:val="clear" w:pos="680"/>
      </w:tabs>
      <w:spacing w:before="60" w:after="60"/>
    </w:pPr>
  </w:style>
  <w:style w:type="paragraph" w:customStyle="1" w:styleId="SubHeading2">
    <w:name w:val="SubHeading2"/>
    <w:basedOn w:val="HeadingBase"/>
    <w:rsid w:val="009E4B1D"/>
    <w:pPr>
      <w:spacing w:before="240" w:after="60"/>
    </w:pPr>
    <w:rPr>
      <w:sz w:val="20"/>
    </w:rPr>
  </w:style>
  <w:style w:type="paragraph" w:customStyle="1" w:styleId="SubHeading1">
    <w:name w:val="SubHeading1"/>
    <w:basedOn w:val="HeadingBase"/>
    <w:rsid w:val="009E4B1D"/>
    <w:pPr>
      <w:spacing w:before="240" w:after="60"/>
    </w:pPr>
    <w:rPr>
      <w:color w:val="918585"/>
      <w:sz w:val="22"/>
    </w:rPr>
  </w:style>
  <w:style w:type="paragraph" w:customStyle="1" w:styleId="SideHeading">
    <w:name w:val="Side Heading"/>
    <w:basedOn w:val="HeadingBase"/>
    <w:rsid w:val="009E4B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4B1D"/>
    <w:pPr>
      <w:numPr>
        <w:numId w:val="12"/>
      </w:numPr>
    </w:pPr>
  </w:style>
  <w:style w:type="paragraph" w:styleId="PlainText">
    <w:name w:val="Plain Text"/>
    <w:basedOn w:val="Normal"/>
    <w:link w:val="PlainTextChar"/>
    <w:rsid w:val="009E4B1D"/>
    <w:rPr>
      <w:sz w:val="20"/>
    </w:rPr>
  </w:style>
  <w:style w:type="character" w:customStyle="1" w:styleId="PlainTextChar">
    <w:name w:val="Plain Text Char"/>
    <w:basedOn w:val="DefaultParagraphFont"/>
    <w:link w:val="PlainText"/>
    <w:rsid w:val="009E4B1D"/>
    <w:rPr>
      <w:rFonts w:ascii="Courier New" w:eastAsia="Times New Roman" w:hAnsi="Courier New" w:cs="Times New Roman"/>
      <w:sz w:val="20"/>
      <w:szCs w:val="20"/>
      <w:lang w:eastAsia="en-US"/>
    </w:rPr>
  </w:style>
  <w:style w:type="character" w:customStyle="1" w:styleId="MenuOption">
    <w:name w:val="Menu Option"/>
    <w:basedOn w:val="DefaultParagraphFont"/>
    <w:rsid w:val="009E4B1D"/>
    <w:rPr>
      <w:b/>
      <w:smallCaps/>
    </w:rPr>
  </w:style>
  <w:style w:type="paragraph" w:customStyle="1" w:styleId="TableListNumber">
    <w:name w:val="Table List Number"/>
    <w:basedOn w:val="ListNumber"/>
    <w:rsid w:val="009E4B1D"/>
    <w:pPr>
      <w:numPr>
        <w:numId w:val="0"/>
      </w:numPr>
    </w:pPr>
  </w:style>
  <w:style w:type="paragraph" w:styleId="TOC4">
    <w:name w:val="toc 4"/>
    <w:basedOn w:val="TOCBase"/>
    <w:next w:val="Normal"/>
    <w:semiHidden/>
    <w:rsid w:val="009E4B1D"/>
    <w:pPr>
      <w:tabs>
        <w:tab w:val="right" w:leader="dot" w:pos="9071"/>
      </w:tabs>
      <w:ind w:left="1701"/>
    </w:pPr>
  </w:style>
  <w:style w:type="paragraph" w:customStyle="1" w:styleId="ListAlpha">
    <w:name w:val="List Alpha"/>
    <w:basedOn w:val="List"/>
    <w:rsid w:val="009E4B1D"/>
    <w:pPr>
      <w:numPr>
        <w:numId w:val="10"/>
      </w:numPr>
    </w:pPr>
  </w:style>
  <w:style w:type="paragraph" w:customStyle="1" w:styleId="ListAlpha2">
    <w:name w:val="List Alpha 2"/>
    <w:basedOn w:val="List2"/>
    <w:rsid w:val="009E4B1D"/>
    <w:pPr>
      <w:numPr>
        <w:numId w:val="9"/>
      </w:numPr>
    </w:pPr>
  </w:style>
  <w:style w:type="paragraph" w:styleId="List2">
    <w:name w:val="List 2"/>
    <w:basedOn w:val="BodyText"/>
    <w:rsid w:val="009E4B1D"/>
    <w:pPr>
      <w:tabs>
        <w:tab w:val="left" w:pos="680"/>
      </w:tabs>
      <w:spacing w:before="60" w:after="60"/>
      <w:ind w:left="680" w:hanging="340"/>
    </w:pPr>
  </w:style>
  <w:style w:type="paragraph" w:styleId="List3">
    <w:name w:val="List 3"/>
    <w:basedOn w:val="BodyText"/>
    <w:rsid w:val="009E4B1D"/>
    <w:pPr>
      <w:tabs>
        <w:tab w:val="left" w:pos="1021"/>
      </w:tabs>
      <w:spacing w:before="60" w:after="60"/>
      <w:ind w:left="1020" w:hanging="340"/>
    </w:pPr>
  </w:style>
  <w:style w:type="paragraph" w:styleId="List4">
    <w:name w:val="List 4"/>
    <w:basedOn w:val="BodyText"/>
    <w:rsid w:val="009E4B1D"/>
    <w:pPr>
      <w:tabs>
        <w:tab w:val="left" w:pos="1361"/>
      </w:tabs>
      <w:spacing w:before="60" w:after="60"/>
      <w:ind w:left="1361" w:hanging="340"/>
    </w:pPr>
  </w:style>
  <w:style w:type="paragraph" w:styleId="List5">
    <w:name w:val="List 5"/>
    <w:basedOn w:val="BodyText"/>
    <w:rsid w:val="009E4B1D"/>
    <w:pPr>
      <w:tabs>
        <w:tab w:val="left" w:pos="1701"/>
      </w:tabs>
      <w:spacing w:before="60" w:after="60"/>
      <w:ind w:left="1701" w:hanging="340"/>
    </w:pPr>
  </w:style>
  <w:style w:type="paragraph" w:styleId="ListBullet4">
    <w:name w:val="List Bullet 4"/>
    <w:basedOn w:val="List4"/>
    <w:rsid w:val="009E4B1D"/>
    <w:pPr>
      <w:numPr>
        <w:numId w:val="4"/>
      </w:numPr>
      <w:tabs>
        <w:tab w:val="clear" w:pos="1361"/>
      </w:tabs>
    </w:pPr>
  </w:style>
  <w:style w:type="paragraph" w:styleId="ListBullet5">
    <w:name w:val="List Bullet 5"/>
    <w:basedOn w:val="List5"/>
    <w:rsid w:val="009E4B1D"/>
    <w:pPr>
      <w:numPr>
        <w:numId w:val="5"/>
      </w:numPr>
    </w:pPr>
  </w:style>
  <w:style w:type="paragraph" w:styleId="ListContinue2">
    <w:name w:val="List Continue 2"/>
    <w:basedOn w:val="List2"/>
    <w:rsid w:val="009E4B1D"/>
    <w:pPr>
      <w:ind w:firstLine="0"/>
    </w:pPr>
  </w:style>
  <w:style w:type="paragraph" w:styleId="ListContinue3">
    <w:name w:val="List Continue 3"/>
    <w:basedOn w:val="List3"/>
    <w:rsid w:val="009E4B1D"/>
    <w:pPr>
      <w:ind w:left="1021" w:firstLine="0"/>
    </w:pPr>
  </w:style>
  <w:style w:type="paragraph" w:styleId="ListContinue4">
    <w:name w:val="List Continue 4"/>
    <w:basedOn w:val="List4"/>
    <w:rsid w:val="009E4B1D"/>
    <w:pPr>
      <w:ind w:firstLine="0"/>
    </w:pPr>
  </w:style>
  <w:style w:type="paragraph" w:styleId="ListContinue5">
    <w:name w:val="List Continue 5"/>
    <w:basedOn w:val="List5"/>
    <w:rsid w:val="009E4B1D"/>
    <w:pPr>
      <w:ind w:firstLine="0"/>
    </w:pPr>
  </w:style>
  <w:style w:type="paragraph" w:styleId="ListNumber3">
    <w:name w:val="List Number 3"/>
    <w:basedOn w:val="List3"/>
    <w:rsid w:val="009E4B1D"/>
    <w:pPr>
      <w:numPr>
        <w:numId w:val="6"/>
      </w:numPr>
    </w:pPr>
  </w:style>
  <w:style w:type="paragraph" w:styleId="ListNumber4">
    <w:name w:val="List Number 4"/>
    <w:basedOn w:val="List4"/>
    <w:rsid w:val="009E4B1D"/>
    <w:pPr>
      <w:numPr>
        <w:numId w:val="7"/>
      </w:numPr>
    </w:pPr>
  </w:style>
  <w:style w:type="paragraph" w:styleId="ListNumber5">
    <w:name w:val="List Number 5"/>
    <w:basedOn w:val="List5"/>
    <w:rsid w:val="009E4B1D"/>
    <w:pPr>
      <w:numPr>
        <w:numId w:val="8"/>
      </w:numPr>
    </w:pPr>
  </w:style>
  <w:style w:type="paragraph" w:styleId="BlockText">
    <w:name w:val="Block Text"/>
    <w:basedOn w:val="Normal"/>
    <w:rsid w:val="009E4B1D"/>
    <w:pPr>
      <w:spacing w:after="120"/>
      <w:ind w:left="1440" w:right="1440"/>
    </w:pPr>
  </w:style>
  <w:style w:type="character" w:customStyle="1" w:styleId="Subscript">
    <w:name w:val="Subscript"/>
    <w:basedOn w:val="DefaultParagraphFont"/>
    <w:rsid w:val="009E4B1D"/>
    <w:rPr>
      <w:sz w:val="16"/>
      <w:vertAlign w:val="subscript"/>
    </w:rPr>
  </w:style>
  <w:style w:type="character" w:customStyle="1" w:styleId="Superscript">
    <w:name w:val="Superscript"/>
    <w:basedOn w:val="DefaultParagraphFont"/>
    <w:rsid w:val="009E4B1D"/>
    <w:rPr>
      <w:sz w:val="16"/>
      <w:vertAlign w:val="superscript"/>
    </w:rPr>
  </w:style>
  <w:style w:type="character" w:customStyle="1" w:styleId="Symbols">
    <w:name w:val="Symbols"/>
    <w:basedOn w:val="DefaultParagraphFont"/>
    <w:rsid w:val="009E4B1D"/>
    <w:rPr>
      <w:rFonts w:ascii="Symbol" w:hAnsi="Symbol"/>
    </w:rPr>
  </w:style>
  <w:style w:type="character" w:customStyle="1" w:styleId="MenuOptions">
    <w:name w:val="Menu Options"/>
    <w:basedOn w:val="DefaultParagraphFont"/>
    <w:rsid w:val="009E4B1D"/>
    <w:rPr>
      <w:rFonts w:ascii="Arial Narrow" w:hAnsi="Arial Narrow"/>
      <w:smallCaps/>
    </w:rPr>
  </w:style>
  <w:style w:type="character" w:customStyle="1" w:styleId="Buttons">
    <w:name w:val="Buttons"/>
    <w:basedOn w:val="DefaultParagraphFont"/>
    <w:rsid w:val="009E4B1D"/>
    <w:rPr>
      <w:b/>
    </w:rPr>
  </w:style>
  <w:style w:type="character" w:customStyle="1" w:styleId="Underlined">
    <w:name w:val="Underlined"/>
    <w:basedOn w:val="DefaultParagraphFont"/>
    <w:rsid w:val="009E4B1D"/>
    <w:rPr>
      <w:u w:val="single"/>
    </w:rPr>
  </w:style>
  <w:style w:type="paragraph" w:customStyle="1" w:styleId="TableBodyTextRight">
    <w:name w:val="Table Body Text Right"/>
    <w:basedOn w:val="TableBodyText"/>
    <w:rsid w:val="009E4B1D"/>
    <w:pPr>
      <w:widowControl w:val="0"/>
      <w:autoSpaceDE w:val="0"/>
      <w:autoSpaceDN w:val="0"/>
      <w:adjustRightInd w:val="0"/>
      <w:jc w:val="right"/>
    </w:pPr>
    <w:rPr>
      <w:rFonts w:cs="Arial"/>
      <w:szCs w:val="18"/>
    </w:rPr>
  </w:style>
  <w:style w:type="paragraph" w:customStyle="1" w:styleId="CopyrightText">
    <w:name w:val="Copyright Text"/>
    <w:basedOn w:val="BodyText"/>
    <w:rsid w:val="009E4B1D"/>
    <w:rPr>
      <w:sz w:val="18"/>
    </w:rPr>
  </w:style>
  <w:style w:type="paragraph" w:customStyle="1" w:styleId="BodySmallRight">
    <w:name w:val="Body Small Right"/>
    <w:basedOn w:val="BodyTextRight"/>
    <w:rsid w:val="009E4B1D"/>
    <w:rPr>
      <w:sz w:val="18"/>
      <w:szCs w:val="18"/>
    </w:rPr>
  </w:style>
  <w:style w:type="paragraph" w:customStyle="1" w:styleId="MarginEdition">
    <w:name w:val="Margin Edition"/>
    <w:basedOn w:val="MarginNote"/>
    <w:rsid w:val="009E4B1D"/>
    <w:pPr>
      <w:spacing w:before="0" w:after="0"/>
    </w:pPr>
    <w:rPr>
      <w:rFonts w:ascii="Times New Roman" w:hAnsi="Times New Roman"/>
      <w:color w:val="999999"/>
    </w:rPr>
  </w:style>
  <w:style w:type="paragraph" w:customStyle="1" w:styleId="Spacer">
    <w:name w:val="Spacer"/>
    <w:basedOn w:val="Normal"/>
    <w:rsid w:val="009E4B1D"/>
    <w:rPr>
      <w:sz w:val="2"/>
      <w:szCs w:val="2"/>
    </w:rPr>
  </w:style>
  <w:style w:type="character" w:customStyle="1" w:styleId="Small">
    <w:name w:val="Small"/>
    <w:basedOn w:val="DefaultParagraphFont"/>
    <w:rsid w:val="009E4B1D"/>
    <w:rPr>
      <w:sz w:val="16"/>
    </w:rPr>
  </w:style>
  <w:style w:type="paragraph" w:customStyle="1" w:styleId="WideTable">
    <w:name w:val="Wide Table"/>
    <w:basedOn w:val="Normal"/>
    <w:rsid w:val="009E4B1D"/>
    <w:pPr>
      <w:ind w:left="-1418"/>
    </w:pPr>
    <w:rPr>
      <w:sz w:val="2"/>
      <w:szCs w:val="2"/>
    </w:rPr>
  </w:style>
  <w:style w:type="character" w:styleId="PageNumber">
    <w:name w:val="page number"/>
    <w:basedOn w:val="DefaultParagraphFont"/>
    <w:rsid w:val="009E4B1D"/>
  </w:style>
  <w:style w:type="paragraph" w:styleId="Quote">
    <w:name w:val="Quote"/>
    <w:basedOn w:val="Heading1"/>
    <w:link w:val="QuoteChar"/>
    <w:qFormat/>
    <w:rsid w:val="009E4B1D"/>
    <w:rPr>
      <w:b w:val="0"/>
      <w:sz w:val="72"/>
      <w:szCs w:val="72"/>
      <w:lang w:val="en-NZ"/>
    </w:rPr>
  </w:style>
  <w:style w:type="character" w:customStyle="1" w:styleId="QuoteChar">
    <w:name w:val="Quote Char"/>
    <w:basedOn w:val="DefaultParagraphFont"/>
    <w:link w:val="Quote"/>
    <w:rsid w:val="009E4B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4B1D"/>
    <w:pPr>
      <w:pageBreakBefore/>
    </w:pPr>
  </w:style>
  <w:style w:type="paragraph" w:customStyle="1" w:styleId="Border">
    <w:name w:val="Border"/>
    <w:basedOn w:val="Normal"/>
    <w:qFormat/>
    <w:rsid w:val="009E4B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4B1D"/>
    <w:rPr>
      <w:b/>
      <w:bCs/>
      <w:i/>
      <w:iCs/>
      <w:color w:val="auto"/>
    </w:rPr>
  </w:style>
  <w:style w:type="paragraph" w:styleId="IntenseQuote">
    <w:name w:val="Intense Quote"/>
    <w:basedOn w:val="Normal"/>
    <w:next w:val="Normal"/>
    <w:link w:val="IntenseQuoteChar"/>
    <w:uiPriority w:val="30"/>
    <w:qFormat/>
    <w:rsid w:val="009E4B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4B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4B1D"/>
    <w:rPr>
      <w:smallCaps/>
      <w:color w:val="auto"/>
      <w:u w:val="single"/>
    </w:rPr>
  </w:style>
  <w:style w:type="character" w:styleId="IntenseReference">
    <w:name w:val="Intense Reference"/>
    <w:basedOn w:val="DefaultParagraphFont"/>
    <w:uiPriority w:val="32"/>
    <w:qFormat/>
    <w:rsid w:val="009E4B1D"/>
    <w:rPr>
      <w:b/>
      <w:bCs/>
      <w:smallCaps/>
      <w:color w:val="auto"/>
      <w:spacing w:val="5"/>
      <w:u w:val="single"/>
    </w:rPr>
  </w:style>
  <w:style w:type="paragraph" w:customStyle="1" w:styleId="2ColumnHeading">
    <w:name w:val="2Column Heading"/>
    <w:basedOn w:val="BodyText"/>
    <w:qFormat/>
    <w:rsid w:val="009E4B1D"/>
    <w:pPr>
      <w:spacing w:after="60"/>
      <w:ind w:left="-2268"/>
    </w:pPr>
    <w:rPr>
      <w:b/>
    </w:rPr>
  </w:style>
  <w:style w:type="paragraph" w:customStyle="1" w:styleId="Heading1TOC">
    <w:name w:val="Heading1 TOC"/>
    <w:basedOn w:val="Normal"/>
    <w:qFormat/>
    <w:rsid w:val="009E4B1D"/>
    <w:pPr>
      <w:spacing w:before="240" w:after="120"/>
    </w:pPr>
    <w:rPr>
      <w:rFonts w:ascii="Times New Roman" w:hAnsi="Times New Roman"/>
      <w:b/>
      <w:sz w:val="32"/>
    </w:rPr>
  </w:style>
  <w:style w:type="paragraph" w:customStyle="1" w:styleId="Heading2TOC">
    <w:name w:val="Heading2 TOC"/>
    <w:basedOn w:val="Normal"/>
    <w:qFormat/>
    <w:rsid w:val="009E4B1D"/>
    <w:pPr>
      <w:spacing w:before="240" w:after="60"/>
    </w:pPr>
    <w:rPr>
      <w:rFonts w:ascii="Times New Roman" w:hAnsi="Times New Roman"/>
      <w:b/>
      <w:sz w:val="28"/>
    </w:rPr>
  </w:style>
  <w:style w:type="character" w:customStyle="1" w:styleId="Underline">
    <w:name w:val="Underline"/>
    <w:basedOn w:val="DefaultParagraphFont"/>
    <w:qFormat/>
    <w:rsid w:val="009E4B1D"/>
    <w:rPr>
      <w:u w:val="single"/>
    </w:rPr>
  </w:style>
  <w:style w:type="character" w:customStyle="1" w:styleId="BoldandItalics">
    <w:name w:val="Bold and Italics"/>
    <w:qFormat/>
    <w:rsid w:val="009E4B1D"/>
    <w:rPr>
      <w:b/>
      <w:i/>
      <w:u w:val="none"/>
    </w:rPr>
  </w:style>
  <w:style w:type="paragraph" w:styleId="BalloonText">
    <w:name w:val="Balloon Text"/>
    <w:basedOn w:val="Normal"/>
    <w:link w:val="BalloonTextChar"/>
    <w:rsid w:val="009E4B1D"/>
    <w:rPr>
      <w:rFonts w:ascii="Tahoma" w:hAnsi="Tahoma" w:cs="Tahoma"/>
      <w:sz w:val="16"/>
      <w:szCs w:val="16"/>
    </w:rPr>
  </w:style>
  <w:style w:type="character" w:customStyle="1" w:styleId="BalloonTextChar">
    <w:name w:val="Balloon Text Char"/>
    <w:basedOn w:val="DefaultParagraphFont"/>
    <w:link w:val="BalloonText"/>
    <w:rsid w:val="009E4B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4B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4B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4B1D"/>
    <w:rPr>
      <w:b/>
      <w:color w:val="660033"/>
      <w:spacing w:val="0"/>
    </w:rPr>
  </w:style>
  <w:style w:type="paragraph" w:customStyle="1" w:styleId="Nameditemlist">
    <w:name w:val="Named item list"/>
    <w:basedOn w:val="BodyText"/>
    <w:qFormat/>
    <w:rsid w:val="009E4B1D"/>
    <w:pPr>
      <w:tabs>
        <w:tab w:val="left" w:pos="2835"/>
      </w:tabs>
      <w:ind w:left="2835" w:hanging="2835"/>
    </w:pPr>
  </w:style>
  <w:style w:type="paragraph" w:customStyle="1" w:styleId="BodyTextnopadding">
    <w:name w:val="Body Text no padding"/>
    <w:basedOn w:val="BodyText"/>
    <w:qFormat/>
    <w:rsid w:val="009E4B1D"/>
    <w:pPr>
      <w:spacing w:before="0" w:after="0"/>
    </w:pPr>
  </w:style>
  <w:style w:type="paragraph" w:customStyle="1" w:styleId="BodyTextBold">
    <w:name w:val="Body Text Bold"/>
    <w:basedOn w:val="BodyText"/>
    <w:qFormat/>
    <w:rsid w:val="009E4B1D"/>
    <w:rPr>
      <w:b/>
    </w:rPr>
  </w:style>
  <w:style w:type="character" w:styleId="Hyperlink">
    <w:name w:val="Hyperlink"/>
    <w:basedOn w:val="DefaultParagraphFont"/>
    <w:uiPriority w:val="99"/>
    <w:unhideWhenUsed/>
    <w:rsid w:val="009B57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919</Words>
  <Characters>6071</Characters>
  <Application>Microsoft Office Word</Application>
  <DocSecurity>0</DocSecurity>
  <Lines>178</Lines>
  <Paragraphs>127</Paragraphs>
  <ScaleCrop>false</ScaleCrop>
  <Company>Author-it Software Corporation Ltd.</Company>
  <LinksUpToDate>false</LinksUpToDate>
  <CharactersWithSpaces>6863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MSL974030 Process body fluid specimens using a point of care testing device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2025-03-01T18:33:00Z</dcterms:created>
  <dcterms:modified xsi:type="dcterms:W3CDTF">2025-03-01T18:33:00Z</dcterms:modified>
</cp:coreProperties>
</file>