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B82" w:rsidP="004F6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MSL974030 Process body fluid specimens using a point of care testing device</w:t>
      </w:r>
      <w:r>
        <w:fldChar w:fldCharType="end"/>
      </w:r>
    </w:p>
    <w:p w:rsidR="004F6B82" w:rsidP="004F6B82">
      <w:pPr>
        <w:pStyle w:val="Version"/>
        <w:sectPr w:rsidSect="00912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D91" w:rsidP="00912D91">
      <w:pPr>
        <w:pStyle w:val="SuperHeading"/>
      </w:pPr>
      <w:r w:rsidRPr="00912D91">
        <w:t>Assessment Requirements for MSL974030 Process body fluid specimens using a point of care testing device</w:t>
      </w:r>
    </w:p>
    <w:p w:rsidR="00000000" w:rsidRPr="00912D91" w:rsidP="00912D91">
      <w:pPr>
        <w:pStyle w:val="Heading1"/>
      </w:pPr>
      <w:bookmarkStart w:id="1" w:name="O_1070528"/>
      <w:bookmarkEnd w:id="1"/>
      <w:r w:rsidRPr="00912D91">
        <w:t>Modification History</w:t>
      </w:r>
    </w:p>
    <w:p w:rsidR="00000000" w:rsidRPr="00912D91" w:rsidP="004F6B82">
      <w:pPr>
        <w:pStyle w:val="BodyText"/>
      </w:pPr>
      <w:r w:rsidRPr="00912D91">
        <w:t>Release 1. New Unit. This version was released with MSL Laboratory Operations Training Package, Release 3.0.</w:t>
      </w:r>
    </w:p>
    <w:p w:rsidR="00000000" w:rsidRPr="00912D91" w:rsidP="00912D91">
      <w:pPr>
        <w:pStyle w:val="Heading1"/>
      </w:pPr>
      <w:bookmarkStart w:id="2" w:name="O_1070529"/>
      <w:bookmarkEnd w:id="2"/>
      <w:r w:rsidRPr="00912D91">
        <w:t>Performance Evidence</w:t>
      </w:r>
    </w:p>
    <w:p w:rsidR="00000000" w:rsidRPr="00912D91" w:rsidP="004F6B82">
      <w:pPr>
        <w:pStyle w:val="BodyText"/>
      </w:pPr>
      <w:r w:rsidRPr="00912D91">
        <w:t>There must be evidence the candidate has completed the tasks outlined in the elements and performance criteria of this unit, and:</w:t>
      </w:r>
    </w:p>
    <w:p w:rsidR="00000000" w:rsidRPr="00912D91" w:rsidP="00912D91">
      <w:pPr>
        <w:pStyle w:val="ListBullet"/>
      </w:pPr>
      <w:r w:rsidRPr="00912D91">
        <w:t>used a PoCT device in accordance with standard operating procedures, and completed the</w:t>
      </w:r>
      <w:r w:rsidRPr="00912D91">
        <w:t xml:space="preserve"> following at least once:</w:t>
      </w:r>
    </w:p>
    <w:p w:rsidR="00000000" w:rsidRPr="00912D91" w:rsidP="00912D91">
      <w:pPr>
        <w:pStyle w:val="ListBullet2"/>
      </w:pPr>
      <w:r w:rsidRPr="00912D91">
        <w:t>specimen processing</w:t>
      </w:r>
    </w:p>
    <w:p w:rsidR="00000000" w:rsidRPr="00912D91" w:rsidP="00912D91">
      <w:pPr>
        <w:pStyle w:val="ListBullet2"/>
      </w:pPr>
      <w:r w:rsidRPr="00912D91">
        <w:t xml:space="preserve">device maintenance </w:t>
      </w:r>
    </w:p>
    <w:p w:rsidR="00000000" w:rsidRPr="00912D91" w:rsidP="00912D91">
      <w:pPr>
        <w:pStyle w:val="ListBullet2"/>
      </w:pPr>
      <w:r w:rsidRPr="00912D91">
        <w:t>a routine quality-control test.</w:t>
      </w:r>
    </w:p>
    <w:p w:rsidR="00000000" w:rsidRPr="00912D91" w:rsidP="00912D91">
      <w:pPr>
        <w:pStyle w:val="AllowPageBreak"/>
      </w:pPr>
    </w:p>
    <w:p w:rsidR="00000000" w:rsidRPr="00912D91" w:rsidP="00912D91">
      <w:pPr>
        <w:pStyle w:val="Heading1"/>
      </w:pPr>
      <w:bookmarkStart w:id="3" w:name="O_1070530"/>
      <w:bookmarkEnd w:id="3"/>
      <w:r w:rsidRPr="00912D91">
        <w:t>Knowledge Evidence</w:t>
      </w:r>
    </w:p>
    <w:p w:rsidR="00000000" w:rsidRPr="00912D91" w:rsidP="004F6B82">
      <w:pPr>
        <w:pStyle w:val="BodyText"/>
      </w:pPr>
      <w:r w:rsidRPr="00912D91">
        <w:t>There must be evidence the candidate has knowledge of:</w:t>
      </w:r>
    </w:p>
    <w:p w:rsidR="00000000" w:rsidRPr="00912D91" w:rsidP="00912D91">
      <w:pPr>
        <w:pStyle w:val="ListBullet"/>
      </w:pPr>
      <w:r w:rsidRPr="00912D91">
        <w:t>existence and purpose of national and international standards a</w:t>
      </w:r>
      <w:r w:rsidRPr="00912D91">
        <w:t xml:space="preserve">nd guidelines for PoCT </w:t>
      </w:r>
    </w:p>
    <w:p w:rsidR="00000000" w:rsidRPr="00912D91" w:rsidP="00912D91">
      <w:pPr>
        <w:pStyle w:val="ListBullet"/>
      </w:pPr>
      <w:r w:rsidRPr="00912D91">
        <w:t>basic principles of quality assurance, the importance of a quality system, and key areas to be addressed:</w:t>
      </w:r>
    </w:p>
    <w:p w:rsidR="00000000" w:rsidRPr="00912D91" w:rsidP="00912D91">
      <w:pPr>
        <w:pStyle w:val="ListBullet2"/>
      </w:pPr>
      <w:r w:rsidRPr="00912D91">
        <w:t>quality control</w:t>
      </w:r>
    </w:p>
    <w:p w:rsidR="00000000" w:rsidRPr="00912D91" w:rsidP="00912D91">
      <w:pPr>
        <w:pStyle w:val="ListBullet2"/>
      </w:pPr>
      <w:r w:rsidRPr="00912D91">
        <w:t>external quality-assurance program</w:t>
      </w:r>
    </w:p>
    <w:p w:rsidR="00000000" w:rsidRPr="00912D91" w:rsidP="00912D91">
      <w:pPr>
        <w:pStyle w:val="ListBullet2"/>
      </w:pPr>
      <w:r w:rsidRPr="00912D91">
        <w:t>traceability</w:t>
      </w:r>
    </w:p>
    <w:p w:rsidR="00000000" w:rsidRPr="00912D91" w:rsidP="00912D91">
      <w:pPr>
        <w:pStyle w:val="ListBullet2"/>
      </w:pPr>
      <w:r w:rsidRPr="00912D91">
        <w:t>documentation</w:t>
      </w:r>
    </w:p>
    <w:p w:rsidR="00000000" w:rsidRPr="00912D91" w:rsidP="00912D91">
      <w:pPr>
        <w:pStyle w:val="ListBullet2"/>
      </w:pPr>
      <w:r w:rsidRPr="00912D91">
        <w:t>roles and responsibilities</w:t>
      </w:r>
    </w:p>
    <w:p w:rsidR="00000000" w:rsidRPr="00912D91" w:rsidP="00912D91">
      <w:pPr>
        <w:pStyle w:val="ListBullet"/>
      </w:pPr>
      <w:r w:rsidRPr="00912D91">
        <w:t>different types of PoCT devices and their purpose, including knowledge of at least one device type that is used to measure each of the following:</w:t>
      </w:r>
    </w:p>
    <w:p w:rsidR="00000000" w:rsidRPr="00912D91" w:rsidP="00912D91">
      <w:pPr>
        <w:pStyle w:val="ListBullet2"/>
      </w:pPr>
      <w:r w:rsidRPr="00912D91">
        <w:t>glucose</w:t>
      </w:r>
    </w:p>
    <w:p w:rsidR="00000000" w:rsidRPr="00912D91" w:rsidP="00912D91">
      <w:pPr>
        <w:pStyle w:val="ListBullet2"/>
      </w:pPr>
      <w:r w:rsidRPr="00912D91">
        <w:t>haematological parameters</w:t>
      </w:r>
    </w:p>
    <w:p w:rsidR="00000000" w:rsidRPr="00912D91" w:rsidP="00912D91">
      <w:pPr>
        <w:pStyle w:val="ListBullet2"/>
      </w:pPr>
      <w:r w:rsidRPr="00912D91">
        <w:t>biochemical parameters</w:t>
      </w:r>
    </w:p>
    <w:p w:rsidR="00000000" w:rsidRPr="00912D91" w:rsidP="00912D91">
      <w:pPr>
        <w:pStyle w:val="ListBullet2"/>
      </w:pPr>
      <w:r w:rsidRPr="00912D91">
        <w:t>blood gas</w:t>
      </w:r>
    </w:p>
    <w:p w:rsidR="00000000" w:rsidRPr="00912D91" w:rsidP="00912D91">
      <w:pPr>
        <w:pStyle w:val="ListBullet"/>
      </w:pPr>
      <w:r w:rsidRPr="00912D91">
        <w:t>methods of patient identification and pre</w:t>
      </w:r>
      <w:r w:rsidRPr="00912D91">
        <w:t>paration</w:t>
      </w:r>
    </w:p>
    <w:p w:rsidR="00000000" w:rsidRPr="00912D91" w:rsidP="00912D91">
      <w:pPr>
        <w:pStyle w:val="ListBullet"/>
      </w:pPr>
      <w:r w:rsidRPr="00912D91">
        <w:t xml:space="preserve">specimen collection methods: </w:t>
      </w:r>
    </w:p>
    <w:p w:rsidR="00000000" w:rsidRPr="00912D91" w:rsidP="00912D91">
      <w:pPr>
        <w:pStyle w:val="ListBullet2"/>
      </w:pPr>
      <w:r w:rsidRPr="00912D91">
        <w:t>blood (capillary, venous, arterial)</w:t>
      </w:r>
    </w:p>
    <w:p w:rsidR="00000000" w:rsidRPr="00912D91" w:rsidP="00912D91">
      <w:pPr>
        <w:pStyle w:val="ListBullet2"/>
      </w:pPr>
      <w:r w:rsidRPr="00912D91">
        <w:t>urine</w:t>
      </w:r>
    </w:p>
    <w:p w:rsidR="00000000" w:rsidRPr="00912D91" w:rsidP="00912D91">
      <w:pPr>
        <w:pStyle w:val="ListBullet2"/>
      </w:pPr>
      <w:r w:rsidRPr="00912D91">
        <w:t>swab</w:t>
      </w:r>
    </w:p>
    <w:p w:rsidR="00000000" w:rsidRPr="00912D91" w:rsidP="00912D91">
      <w:pPr>
        <w:pStyle w:val="ListBullet"/>
      </w:pPr>
      <w:r w:rsidRPr="00912D91">
        <w:t>risk and safety requirements associated with the handling and disposal of specimens</w:t>
      </w:r>
    </w:p>
    <w:p w:rsidR="00000000" w:rsidRPr="00912D91" w:rsidP="00912D91">
      <w:pPr>
        <w:pStyle w:val="ListBullet"/>
      </w:pPr>
      <w:r w:rsidRPr="00912D91">
        <w:t>operator tracking and its implications</w:t>
      </w:r>
    </w:p>
    <w:p w:rsidR="00000000" w:rsidRPr="00912D91" w:rsidP="00912D91">
      <w:pPr>
        <w:pStyle w:val="ListBullet"/>
      </w:pPr>
      <w:r w:rsidRPr="00912D91">
        <w:t>initial and ongoing operator training requirements</w:t>
      </w:r>
    </w:p>
    <w:p w:rsidR="00000000" w:rsidRPr="00912D91" w:rsidP="00912D91">
      <w:pPr>
        <w:pStyle w:val="ListBullet"/>
      </w:pPr>
      <w:r w:rsidRPr="00912D91">
        <w:t>common causes of variations in testing and results</w:t>
      </w:r>
    </w:p>
    <w:p w:rsidR="00000000" w:rsidRPr="00912D91" w:rsidP="00912D91">
      <w:pPr>
        <w:pStyle w:val="ListBullet"/>
      </w:pPr>
      <w:r w:rsidRPr="00912D91">
        <w:t>how to recognise and report abnormal, clinically urgent and erroneous results</w:t>
      </w:r>
    </w:p>
    <w:p w:rsidR="00000000" w:rsidRPr="00912D91" w:rsidP="00912D91">
      <w:pPr>
        <w:pStyle w:val="ListBullet"/>
      </w:pPr>
      <w:r w:rsidRPr="00912D91">
        <w:t>difference between reportable range and reference interval</w:t>
      </w:r>
    </w:p>
    <w:p w:rsidR="00000000" w:rsidRPr="00912D91" w:rsidP="00912D91">
      <w:pPr>
        <w:pStyle w:val="ListBullet"/>
      </w:pPr>
      <w:r w:rsidRPr="00912D91">
        <w:t>limitations of co</w:t>
      </w:r>
      <w:r w:rsidRPr="00912D91">
        <w:t>mparing results from different types of devices</w:t>
      </w:r>
    </w:p>
    <w:p w:rsidR="00000000" w:rsidRPr="00912D91" w:rsidP="00912D91">
      <w:pPr>
        <w:pStyle w:val="ListBullet"/>
      </w:pPr>
      <w:r w:rsidRPr="00912D91">
        <w:t>standard operating procedures for the PoCT device being used:</w:t>
      </w:r>
    </w:p>
    <w:p w:rsidR="00000000" w:rsidRPr="00912D91" w:rsidP="00912D91">
      <w:pPr>
        <w:pStyle w:val="ListBullet2"/>
      </w:pPr>
      <w:r w:rsidRPr="00912D91">
        <w:t>methods of patient identification and preparation</w:t>
      </w:r>
    </w:p>
    <w:p w:rsidR="00000000" w:rsidRPr="00912D91" w:rsidP="00912D91">
      <w:pPr>
        <w:pStyle w:val="ListBullet2"/>
      </w:pPr>
      <w:r w:rsidRPr="00912D91">
        <w:t>confirming suitability for testing and potential impacting factors:</w:t>
      </w:r>
    </w:p>
    <w:p w:rsidR="00000000" w:rsidRPr="00912D91" w:rsidP="00912D91">
      <w:pPr>
        <w:pStyle w:val="ListBullet3"/>
      </w:pPr>
      <w:r w:rsidRPr="00912D91">
        <w:t>collection parameters</w:t>
      </w:r>
    </w:p>
    <w:p w:rsidR="00000000" w:rsidRPr="00912D91" w:rsidP="00912D91">
      <w:pPr>
        <w:pStyle w:val="ListBullet3"/>
      </w:pPr>
      <w:r w:rsidRPr="00912D91">
        <w:t>patient preparation</w:t>
      </w:r>
    </w:p>
    <w:p w:rsidR="00000000" w:rsidRPr="00912D91" w:rsidP="00912D91">
      <w:pPr>
        <w:pStyle w:val="ListBullet3"/>
      </w:pPr>
      <w:r w:rsidRPr="00912D91">
        <w:t>specimen volume</w:t>
      </w:r>
    </w:p>
    <w:p w:rsidR="00000000" w:rsidRPr="00912D91" w:rsidP="00912D91">
      <w:pPr>
        <w:pStyle w:val="ListBullet3"/>
      </w:pPr>
      <w:r w:rsidRPr="00912D91">
        <w:t>specimen identification</w:t>
      </w:r>
    </w:p>
    <w:p w:rsidR="00000000" w:rsidRPr="00912D91" w:rsidP="00912D91">
      <w:pPr>
        <w:pStyle w:val="ListBullet2"/>
      </w:pPr>
      <w:r w:rsidRPr="00912D91">
        <w:t>device operation, quality control requirements and navigation</w:t>
      </w:r>
    </w:p>
    <w:p w:rsidR="00000000" w:rsidRPr="00912D91" w:rsidP="00912D91">
      <w:pPr>
        <w:pStyle w:val="ListBullet2"/>
      </w:pPr>
      <w:r w:rsidRPr="00912D91">
        <w:t>safety and personal protective equipment requirements for handling and disposal of reagents</w:t>
      </w:r>
    </w:p>
    <w:p w:rsidR="00000000" w:rsidRPr="00912D91" w:rsidP="00912D91">
      <w:pPr>
        <w:pStyle w:val="ListBullet2"/>
      </w:pPr>
      <w:r w:rsidRPr="00912D91">
        <w:t>consumables and reagents storage and stab</w:t>
      </w:r>
      <w:r w:rsidRPr="00912D91">
        <w:t>ility</w:t>
      </w:r>
    </w:p>
    <w:p w:rsidR="00000000" w:rsidRPr="00912D91" w:rsidP="00912D91">
      <w:pPr>
        <w:pStyle w:val="ListBullet2"/>
      </w:pPr>
      <w:r w:rsidRPr="00912D91">
        <w:t xml:space="preserve">device troubleshooting </w:t>
      </w:r>
    </w:p>
    <w:p w:rsidR="00000000" w:rsidRPr="00912D91" w:rsidP="00912D91">
      <w:pPr>
        <w:pStyle w:val="ListBullet2"/>
      </w:pPr>
      <w:r w:rsidRPr="00912D91">
        <w:t>recording of results</w:t>
      </w:r>
    </w:p>
    <w:p w:rsidR="00000000" w:rsidRPr="00912D91" w:rsidP="00912D91">
      <w:pPr>
        <w:pStyle w:val="ListBullet2"/>
      </w:pPr>
      <w:r w:rsidRPr="00912D91">
        <w:t>reporting of issues outside area of responsibility:</w:t>
      </w:r>
    </w:p>
    <w:p w:rsidR="00000000" w:rsidRPr="00912D91" w:rsidP="00912D91">
      <w:pPr>
        <w:pStyle w:val="ListBullet3"/>
      </w:pPr>
      <w:r w:rsidRPr="00912D91">
        <w:t>device failure</w:t>
      </w:r>
    </w:p>
    <w:p w:rsidR="00000000" w:rsidRPr="00912D91" w:rsidP="00912D91">
      <w:pPr>
        <w:pStyle w:val="ListBullet3"/>
      </w:pPr>
      <w:r w:rsidRPr="00912D91">
        <w:t>quality control</w:t>
      </w:r>
    </w:p>
    <w:p w:rsidR="00000000" w:rsidRPr="00912D91" w:rsidP="00912D91">
      <w:pPr>
        <w:pStyle w:val="ListBullet3"/>
      </w:pPr>
      <w:r w:rsidRPr="00912D91">
        <w:t>need for technology updates</w:t>
      </w:r>
    </w:p>
    <w:p w:rsidR="00000000" w:rsidRPr="00912D91" w:rsidP="00912D91">
      <w:pPr>
        <w:pStyle w:val="ListBullet2"/>
      </w:pPr>
      <w:r w:rsidRPr="00912D91">
        <w:t>device cleaning and minor maintenance, including servicing requirements</w:t>
      </w:r>
    </w:p>
    <w:p w:rsidR="00000000" w:rsidRPr="00912D91" w:rsidP="00912D91">
      <w:pPr>
        <w:pStyle w:val="AllowPageBreak"/>
      </w:pPr>
    </w:p>
    <w:p w:rsidR="00000000" w:rsidRPr="00912D91" w:rsidP="00912D91">
      <w:pPr>
        <w:pStyle w:val="Heading1"/>
      </w:pPr>
      <w:bookmarkStart w:id="4" w:name="O_1070531"/>
      <w:bookmarkEnd w:id="4"/>
      <w:r w:rsidRPr="00912D91">
        <w:t>Assessment Conditions</w:t>
      </w:r>
    </w:p>
    <w:p w:rsidR="00000000" w:rsidRPr="00912D91" w:rsidP="004F6B82">
      <w:pPr>
        <w:pStyle w:val="BodyText"/>
      </w:pPr>
      <w:r w:rsidRPr="00912D9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12D91" w:rsidP="00912D91">
      <w:pPr>
        <w:pStyle w:val="ListBullet"/>
      </w:pPr>
      <w:r w:rsidRPr="00912D91">
        <w:t>use of suitable facilities, equipment and re</w:t>
      </w:r>
      <w:r w:rsidRPr="00912D91">
        <w:t>sources, including:</w:t>
      </w:r>
    </w:p>
    <w:p w:rsidR="00000000" w:rsidRPr="00912D91" w:rsidP="00912D91">
      <w:pPr>
        <w:pStyle w:val="ListBullet2"/>
      </w:pPr>
      <w:r w:rsidRPr="00912D91">
        <w:t>PoCT device and associated consumables</w:t>
      </w:r>
    </w:p>
    <w:p w:rsidR="00000000" w:rsidRPr="00912D91" w:rsidP="00912D91">
      <w:pPr>
        <w:pStyle w:val="ListBullet2"/>
      </w:pPr>
      <w:r w:rsidRPr="00912D91">
        <w:t>specimens for testing</w:t>
      </w:r>
    </w:p>
    <w:p w:rsidR="00000000" w:rsidRPr="00912D91" w:rsidP="00912D91">
      <w:pPr>
        <w:pStyle w:val="ListBullet2"/>
      </w:pPr>
      <w:r w:rsidRPr="00912D91">
        <w:t xml:space="preserve">standard operating procedures </w:t>
      </w:r>
    </w:p>
    <w:p w:rsidR="00000000" w:rsidRPr="00912D91" w:rsidP="00912D91">
      <w:pPr>
        <w:pStyle w:val="ListBullet2"/>
      </w:pPr>
      <w:r w:rsidRPr="00912D91">
        <w:t>PPE and infection prevention procedures for PoCT.</w:t>
      </w:r>
    </w:p>
    <w:p w:rsidR="00000000" w:rsidRPr="00912D91" w:rsidP="004F6B82">
      <w:pPr>
        <w:pStyle w:val="BodyText"/>
      </w:pPr>
      <w:r w:rsidRPr="00912D91">
        <w:t>Assessors must satisfy the NVR/AQTF mandatory competency requirements for assessors.</w:t>
      </w:r>
    </w:p>
    <w:p w:rsidR="00000000" w:rsidRPr="00912D91" w:rsidP="00912D91">
      <w:pPr>
        <w:pStyle w:val="Heading1"/>
      </w:pPr>
      <w:bookmarkStart w:id="5" w:name="O_1070534"/>
      <w:bookmarkEnd w:id="5"/>
      <w:r w:rsidRPr="00912D91">
        <w:t>Links</w:t>
      </w:r>
    </w:p>
    <w:p w:rsidR="00000000" w:rsidRPr="00912D91" w:rsidP="004F6B82">
      <w:pPr>
        <w:pStyle w:val="BodyText"/>
      </w:pPr>
      <w:r w:rsidRPr="00912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A3E8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12D91" w:rsidP="00912D91"/>
    <w:sectPr w:rsidSect="00912D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91" w:rsidRPr="004F6B82" w:rsidP="004F6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82" w:rsidP="00912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B82" w:rsidP="00912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6B82" w:rsidP="00912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D91" w:rsidRPr="004F6B82" w:rsidP="004F6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82" w:rsidRPr="002D2AF8" w:rsidP="00912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MSL974030 Process body fluid specimens using a point of care testing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4F6B82" w:rsidP="00912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49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7A8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6A6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D91"/>
  </w:style>
  <w:style w:type="character" w:customStyle="1" w:styleId="Heading1Char">
    <w:name w:val="Heading 1 Char"/>
    <w:basedOn w:val="DefaultParagraphFont"/>
    <w:link w:val="Heading1"/>
    <w:rsid w:val="00912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D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D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2D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2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D91"/>
    <w:rPr>
      <w:b/>
      <w:spacing w:val="0"/>
    </w:rPr>
  </w:style>
  <w:style w:type="paragraph" w:customStyle="1" w:styleId="SuperTitle">
    <w:name w:val="SuperTitle"/>
    <w:basedOn w:val="Title"/>
    <w:rsid w:val="00912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D91"/>
    <w:rPr>
      <w:i/>
    </w:rPr>
  </w:style>
  <w:style w:type="paragraph" w:styleId="Caption">
    <w:name w:val="caption"/>
    <w:basedOn w:val="BodyText"/>
    <w:next w:val="Normal"/>
    <w:qFormat/>
    <w:rsid w:val="00912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D91"/>
  </w:style>
  <w:style w:type="paragraph" w:styleId="TableofFigures">
    <w:name w:val="table of figures"/>
    <w:basedOn w:val="Normal"/>
    <w:next w:val="Normal"/>
    <w:semiHidden/>
    <w:rsid w:val="00912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D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2D91"/>
    <w:rPr>
      <w:rFonts w:ascii="Wingdings" w:hAnsi="Wingdings"/>
    </w:rPr>
  </w:style>
  <w:style w:type="paragraph" w:customStyle="1" w:styleId="TableHeading">
    <w:name w:val="Table Heading"/>
    <w:basedOn w:val="HeadingBase"/>
    <w:rsid w:val="00912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D91"/>
    <w:rPr>
      <w:color w:val="0033CC"/>
      <w:u w:val="none"/>
    </w:rPr>
  </w:style>
  <w:style w:type="paragraph" w:customStyle="1" w:styleId="BodyTextRight">
    <w:name w:val="Body Text Right"/>
    <w:basedOn w:val="BodyText"/>
    <w:rsid w:val="00912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D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D91"/>
    <w:rPr>
      <w:sz w:val="32"/>
    </w:rPr>
  </w:style>
  <w:style w:type="paragraph" w:customStyle="1" w:styleId="HeadingProcedure">
    <w:name w:val="Heading Procedure"/>
    <w:basedOn w:val="HeadingBase"/>
    <w:next w:val="Normal"/>
    <w:rsid w:val="00912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D91"/>
    <w:pPr>
      <w:spacing w:before="60" w:after="60"/>
    </w:pPr>
  </w:style>
  <w:style w:type="paragraph" w:styleId="ListContinue">
    <w:name w:val="List Continue"/>
    <w:basedOn w:val="List"/>
    <w:rsid w:val="00912D91"/>
    <w:pPr>
      <w:ind w:firstLine="0"/>
    </w:pPr>
  </w:style>
  <w:style w:type="paragraph" w:customStyle="1" w:styleId="ListNote">
    <w:name w:val="List Note"/>
    <w:basedOn w:val="List"/>
    <w:rsid w:val="00912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D91"/>
    <w:rPr>
      <w:rFonts w:ascii="Courier New" w:hAnsi="Courier New"/>
    </w:rPr>
  </w:style>
  <w:style w:type="paragraph" w:customStyle="1" w:styleId="NoteBullet">
    <w:name w:val="Note Bullet"/>
    <w:basedOn w:val="Note"/>
    <w:rsid w:val="00912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D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2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D91"/>
    <w:rPr>
      <w:b/>
      <w:smallCaps/>
    </w:rPr>
  </w:style>
  <w:style w:type="paragraph" w:customStyle="1" w:styleId="TableListNumber">
    <w:name w:val="Table List Number"/>
    <w:basedOn w:val="ListNumber"/>
    <w:rsid w:val="00912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D91"/>
    <w:pPr>
      <w:numPr>
        <w:numId w:val="10"/>
      </w:numPr>
    </w:pPr>
  </w:style>
  <w:style w:type="paragraph" w:customStyle="1" w:styleId="ListAlpha2">
    <w:name w:val="List Alpha 2"/>
    <w:basedOn w:val="List2"/>
    <w:rsid w:val="00912D91"/>
    <w:pPr>
      <w:numPr>
        <w:numId w:val="9"/>
      </w:numPr>
    </w:pPr>
  </w:style>
  <w:style w:type="paragraph" w:styleId="List2">
    <w:name w:val="List 2"/>
    <w:basedOn w:val="BodyText"/>
    <w:rsid w:val="00912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D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2D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2D91"/>
    <w:pPr>
      <w:numPr>
        <w:numId w:val="5"/>
      </w:numPr>
    </w:pPr>
  </w:style>
  <w:style w:type="paragraph" w:styleId="ListContinue2">
    <w:name w:val="List Continue 2"/>
    <w:basedOn w:val="List2"/>
    <w:rsid w:val="00912D91"/>
    <w:pPr>
      <w:ind w:firstLine="0"/>
    </w:pPr>
  </w:style>
  <w:style w:type="paragraph" w:styleId="ListContinue3">
    <w:name w:val="List Continue 3"/>
    <w:basedOn w:val="List3"/>
    <w:rsid w:val="00912D91"/>
    <w:pPr>
      <w:ind w:left="1021" w:firstLine="0"/>
    </w:pPr>
  </w:style>
  <w:style w:type="paragraph" w:styleId="ListContinue4">
    <w:name w:val="List Continue 4"/>
    <w:basedOn w:val="List4"/>
    <w:rsid w:val="00912D91"/>
    <w:pPr>
      <w:ind w:firstLine="0"/>
    </w:pPr>
  </w:style>
  <w:style w:type="paragraph" w:styleId="ListContinue5">
    <w:name w:val="List Continue 5"/>
    <w:basedOn w:val="List5"/>
    <w:rsid w:val="00912D91"/>
    <w:pPr>
      <w:ind w:firstLine="0"/>
    </w:pPr>
  </w:style>
  <w:style w:type="paragraph" w:styleId="ListNumber3">
    <w:name w:val="List Number 3"/>
    <w:basedOn w:val="List3"/>
    <w:rsid w:val="00912D91"/>
    <w:pPr>
      <w:numPr>
        <w:numId w:val="6"/>
      </w:numPr>
    </w:pPr>
  </w:style>
  <w:style w:type="paragraph" w:styleId="ListNumber4">
    <w:name w:val="List Number 4"/>
    <w:basedOn w:val="List4"/>
    <w:rsid w:val="00912D91"/>
    <w:pPr>
      <w:numPr>
        <w:numId w:val="7"/>
      </w:numPr>
    </w:pPr>
  </w:style>
  <w:style w:type="paragraph" w:styleId="ListNumber5">
    <w:name w:val="List Number 5"/>
    <w:basedOn w:val="List5"/>
    <w:rsid w:val="00912D91"/>
    <w:pPr>
      <w:numPr>
        <w:numId w:val="8"/>
      </w:numPr>
    </w:pPr>
  </w:style>
  <w:style w:type="paragraph" w:styleId="BlockText">
    <w:name w:val="Block Text"/>
    <w:basedOn w:val="Normal"/>
    <w:rsid w:val="00912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D91"/>
    <w:rPr>
      <w:sz w:val="16"/>
      <w:vertAlign w:val="superscript"/>
    </w:rPr>
  </w:style>
  <w:style w:type="character" w:customStyle="1" w:styleId="Symbols">
    <w:name w:val="Symbols"/>
    <w:basedOn w:val="DefaultParagraphFont"/>
    <w:rsid w:val="00912D91"/>
    <w:rPr>
      <w:rFonts w:ascii="Symbol" w:hAnsi="Symbol"/>
    </w:rPr>
  </w:style>
  <w:style w:type="character" w:customStyle="1" w:styleId="MenuOptions">
    <w:name w:val="Menu Options"/>
    <w:basedOn w:val="DefaultParagraphFont"/>
    <w:rsid w:val="00912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D91"/>
    <w:rPr>
      <w:b/>
    </w:rPr>
  </w:style>
  <w:style w:type="character" w:customStyle="1" w:styleId="Underlined">
    <w:name w:val="Underlined"/>
    <w:basedOn w:val="DefaultParagraphFont"/>
    <w:rsid w:val="00912D91"/>
    <w:rPr>
      <w:u w:val="single"/>
    </w:rPr>
  </w:style>
  <w:style w:type="paragraph" w:customStyle="1" w:styleId="TableBodyTextRight">
    <w:name w:val="Table Body Text Right"/>
    <w:basedOn w:val="TableBodyText"/>
    <w:rsid w:val="00912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D91"/>
    <w:rPr>
      <w:sz w:val="18"/>
    </w:rPr>
  </w:style>
  <w:style w:type="paragraph" w:customStyle="1" w:styleId="BodySmallRight">
    <w:name w:val="Body Small Right"/>
    <w:basedOn w:val="BodyTextRight"/>
    <w:rsid w:val="00912D91"/>
    <w:rPr>
      <w:sz w:val="18"/>
      <w:szCs w:val="18"/>
    </w:rPr>
  </w:style>
  <w:style w:type="paragraph" w:customStyle="1" w:styleId="MarginEdition">
    <w:name w:val="Margin Edition"/>
    <w:basedOn w:val="MarginNote"/>
    <w:rsid w:val="00912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D91"/>
    <w:rPr>
      <w:sz w:val="2"/>
      <w:szCs w:val="2"/>
    </w:rPr>
  </w:style>
  <w:style w:type="character" w:customStyle="1" w:styleId="Small">
    <w:name w:val="Small"/>
    <w:basedOn w:val="DefaultParagraphFont"/>
    <w:rsid w:val="00912D91"/>
    <w:rPr>
      <w:sz w:val="16"/>
    </w:rPr>
  </w:style>
  <w:style w:type="paragraph" w:customStyle="1" w:styleId="WideTable">
    <w:name w:val="Wide Table"/>
    <w:basedOn w:val="Normal"/>
    <w:rsid w:val="00912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D91"/>
  </w:style>
  <w:style w:type="paragraph" w:styleId="Quote">
    <w:name w:val="Quote"/>
    <w:basedOn w:val="Heading1"/>
    <w:link w:val="QuoteChar"/>
    <w:qFormat/>
    <w:rsid w:val="00912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D91"/>
    <w:pPr>
      <w:pageBreakBefore/>
    </w:pPr>
  </w:style>
  <w:style w:type="paragraph" w:customStyle="1" w:styleId="Border">
    <w:name w:val="Border"/>
    <w:basedOn w:val="Normal"/>
    <w:qFormat/>
    <w:rsid w:val="00912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D91"/>
    <w:rPr>
      <w:u w:val="single"/>
    </w:rPr>
  </w:style>
  <w:style w:type="character" w:customStyle="1" w:styleId="BoldandItalics">
    <w:name w:val="Bold and Italics"/>
    <w:qFormat/>
    <w:rsid w:val="00912D91"/>
    <w:rPr>
      <w:b/>
      <w:i/>
      <w:u w:val="none"/>
    </w:rPr>
  </w:style>
  <w:style w:type="paragraph" w:styleId="BalloonText">
    <w:name w:val="Balloon Text"/>
    <w:basedOn w:val="Normal"/>
    <w:link w:val="BalloonTextChar"/>
    <w:rsid w:val="00912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D91"/>
    <w:pPr>
      <w:spacing w:before="0" w:after="0"/>
    </w:pPr>
  </w:style>
  <w:style w:type="paragraph" w:customStyle="1" w:styleId="BodyTextBold">
    <w:name w:val="Body Text Bold"/>
    <w:basedOn w:val="BodyText"/>
    <w:qFormat/>
    <w:rsid w:val="00912D91"/>
    <w:rPr>
      <w:b/>
    </w:rPr>
  </w:style>
  <w:style w:type="character" w:styleId="Hyperlink">
    <w:name w:val="Hyperlink"/>
    <w:basedOn w:val="DefaultParagraphFont"/>
    <w:uiPriority w:val="99"/>
    <w:unhideWhenUsed/>
    <w:rsid w:val="004F6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2910</Characters>
  <Application>Microsoft Office Word</Application>
  <DocSecurity>0</DocSecurity>
  <Lines>85</Lines>
  <Paragraphs>75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MSL974030 Process body fluid specimens using a point of care testing device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2021-10-27T23:09:00Z</dcterms:created>
  <dcterms:modified xsi:type="dcterms:W3CDTF">2021-10-27T23:09:00Z</dcterms:modified>
</cp:coreProperties>
</file>