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40F" w:rsidP="0047540F">
      <w:pPr>
        <w:pStyle w:val="Title"/>
      </w:pPr>
      <w:r>
        <w:fldChar w:fldCharType="begin"/>
      </w:r>
      <w:r>
        <w:instrText xml:space="preserve"> TITLE   \* MERGEFORMAT </w:instrText>
      </w:r>
      <w:r>
        <w:fldChar w:fldCharType="separate"/>
      </w:r>
      <w:r>
        <w:t>MSL974029 Operate an automated mineral analysis system</w:t>
      </w:r>
      <w:r>
        <w:fldChar w:fldCharType="end"/>
      </w:r>
    </w:p>
    <w:p w:rsidR="0047540F" w:rsidP="0047540F">
      <w:pPr>
        <w:pStyle w:val="Version"/>
        <w:sectPr w:rsidSect="002A23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231D" w:rsidP="002A231D">
      <w:pPr>
        <w:pStyle w:val="SuperHeading"/>
      </w:pPr>
      <w:r w:rsidRPr="002A231D">
        <w:t>MSL974029 Operate an automated mineral analysis system</w:t>
      </w:r>
    </w:p>
    <w:p w:rsidR="00000000" w:rsidRPr="002A231D" w:rsidP="002A231D">
      <w:pPr>
        <w:pStyle w:val="Heading1"/>
      </w:pPr>
      <w:bookmarkStart w:id="1" w:name="O_986671"/>
      <w:bookmarkEnd w:id="1"/>
      <w:r w:rsidRPr="002A231D">
        <w:t>Modification History</w:t>
      </w:r>
    </w:p>
    <w:tbl>
      <w:tblPr>
        <w:tblW w:w="0" w:type="auto"/>
        <w:tblLayout w:type="fixed"/>
        <w:tblCellMar>
          <w:left w:w="62" w:type="dxa"/>
          <w:right w:w="62" w:type="dxa"/>
        </w:tblCellMar>
        <w:tblLook w:val="0000"/>
      </w:tblPr>
      <w:tblGrid>
        <w:gridCol w:w="1882"/>
        <w:gridCol w:w="7252"/>
      </w:tblGrid>
      <w:tr w:rsidTr="002A231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231D" w:rsidP="002A231D">
            <w:pPr>
              <w:pStyle w:val="BodyText"/>
            </w:pPr>
            <w:r w:rsidRPr="002A231D">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231D">
            <w:pPr>
              <w:pStyle w:val="BodyText"/>
              <w:rPr>
                <w:lang w:val="en-NZ"/>
              </w:rPr>
            </w:pPr>
            <w:r w:rsidRPr="002A231D">
              <w:rPr>
                <w:rStyle w:val="SpecialBold"/>
              </w:rPr>
              <w:t>Comments</w:t>
            </w:r>
          </w:p>
        </w:tc>
      </w:tr>
      <w:tr w:rsidTr="002A231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31D">
            <w:pPr>
              <w:pStyle w:val="BodyText"/>
              <w:rPr>
                <w:lang w:val="en-NZ"/>
              </w:rPr>
            </w:pPr>
            <w:r w:rsidRPr="002A231D">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31D" w:rsidP="002A231D">
            <w:pPr>
              <w:pStyle w:val="BodyText"/>
            </w:pPr>
            <w:r w:rsidRPr="002A231D">
              <w:t xml:space="preserve">New unit released in </w:t>
            </w:r>
            <w:r w:rsidRPr="002A231D">
              <w:rPr>
                <w:rStyle w:val="Emphasis"/>
              </w:rPr>
              <w:t>MSL Laboratory Operations Training Package Release 2.0.</w:t>
            </w:r>
          </w:p>
          <w:p w:rsidR="00000000" w:rsidRPr="002A231D" w:rsidP="002A231D">
            <w:pPr>
              <w:pStyle w:val="BodyText"/>
            </w:pPr>
            <w:r w:rsidRPr="002A231D">
              <w:t xml:space="preserve">Supersedes and equivalent to MSL974015 Operate an automated mineral analysis system. Foundation skill information </w:t>
            </w:r>
            <w:r w:rsidRPr="002A231D">
              <w:t>added. Range of conditions removed. Assessment requirements amended. Equivalent outcome.</w:t>
            </w:r>
          </w:p>
        </w:tc>
      </w:tr>
    </w:tbl>
    <w:p w:rsidR="00000000" w:rsidRPr="002A231D" w:rsidP="002A231D">
      <w:pPr>
        <w:pStyle w:val="BodyText"/>
      </w:pPr>
    </w:p>
    <w:p w:rsidR="00000000" w:rsidRPr="002A231D" w:rsidP="002A231D">
      <w:pPr>
        <w:pStyle w:val="AllowPageBreak"/>
      </w:pPr>
    </w:p>
    <w:p w:rsidR="00000000" w:rsidRPr="002A231D" w:rsidP="002A231D">
      <w:pPr>
        <w:pStyle w:val="Heading1"/>
      </w:pPr>
      <w:bookmarkStart w:id="2" w:name="O_986677"/>
      <w:bookmarkEnd w:id="2"/>
      <w:r w:rsidRPr="002A231D">
        <w:t>Application</w:t>
      </w:r>
    </w:p>
    <w:p w:rsidR="00000000" w:rsidRPr="002A231D" w:rsidP="0047540F">
      <w:pPr>
        <w:pStyle w:val="BodyText"/>
      </w:pPr>
      <w:r w:rsidRPr="002A231D">
        <w:t xml:space="preserve">This unit of competency describes the skills and knowledge to operate a computer-controlled robotic system for the specialised analysis </w:t>
      </w:r>
      <w:r w:rsidRPr="002A231D">
        <w:t>of minerals, such as iron ore. Automated mineral analysis systems are operated in conjunction with robotic sample preparation systems to handle high volumes of relatively homogeneous material or when there is a need to minimise the operator</w:t>
      </w:r>
      <w:r>
        <w:t>’</w:t>
      </w:r>
      <w:r w:rsidRPr="002A231D">
        <w:t xml:space="preserve">s contact with </w:t>
      </w:r>
      <w:r w:rsidRPr="002A231D">
        <w:t>potentially hazardous materials.</w:t>
      </w:r>
    </w:p>
    <w:p w:rsidR="00000000" w:rsidRPr="002A231D" w:rsidP="0047540F">
      <w:pPr>
        <w:pStyle w:val="BodyText"/>
      </w:pPr>
      <w:r w:rsidRPr="002A231D">
        <w:t>This unit applies to instrument operators in the mining industry sector. Personnel are required to adjust the system’s operating parameters to suit individual sample batches and to achieve production targets without sacrif</w:t>
      </w:r>
      <w:r w:rsidRPr="002A231D">
        <w:t>icing quality or safety standards. They are required to interpret routine system error codes and apply specified corrective actions and seek advice when non-routine problems arise. Operators are not required to interpret analytical methods or results.</w:t>
      </w:r>
    </w:p>
    <w:p w:rsidR="00000000" w:rsidRPr="002A231D" w:rsidP="0047540F">
      <w:pPr>
        <w:pStyle w:val="BodyText"/>
      </w:pPr>
      <w:r w:rsidRPr="002A231D">
        <w:t xml:space="preserve">No </w:t>
      </w:r>
      <w:r w:rsidRPr="002A231D">
        <w:t>licensing or certification requirements exist at the time of publication. However, regulations and/or external accreditation requirements for laboratory operations exist, so local requirements should be checked. Relevant legislation, industry standards and</w:t>
      </w:r>
      <w:r w:rsidRPr="002A231D">
        <w:t xml:space="preserve"> codes of practice within Australia must also be applied.</w:t>
      </w:r>
    </w:p>
    <w:p w:rsidR="00000000" w:rsidRPr="002A231D" w:rsidP="002A231D">
      <w:pPr>
        <w:pStyle w:val="Heading1"/>
      </w:pPr>
      <w:bookmarkStart w:id="3" w:name="O_986676"/>
      <w:bookmarkEnd w:id="3"/>
      <w:r w:rsidRPr="002A231D">
        <w:t>Pre-requisite Unit</w:t>
      </w:r>
    </w:p>
    <w:p w:rsidR="00000000" w:rsidRPr="002A231D" w:rsidP="0047540F">
      <w:pPr>
        <w:pStyle w:val="BodyText"/>
      </w:pPr>
      <w:r w:rsidRPr="002A231D">
        <w:t>Nil</w:t>
      </w:r>
    </w:p>
    <w:p w:rsidR="00000000" w:rsidRPr="002A231D" w:rsidP="002A231D">
      <w:pPr>
        <w:pStyle w:val="Heading1"/>
      </w:pPr>
      <w:bookmarkStart w:id="4" w:name="O_986675"/>
      <w:bookmarkEnd w:id="4"/>
      <w:r w:rsidRPr="002A231D">
        <w:t>Competency Field</w:t>
      </w:r>
    </w:p>
    <w:p w:rsidR="00000000" w:rsidRPr="002A231D" w:rsidP="0047540F">
      <w:pPr>
        <w:pStyle w:val="BodyText"/>
      </w:pPr>
      <w:r w:rsidRPr="002A231D">
        <w:t>Testing</w:t>
      </w:r>
    </w:p>
    <w:p w:rsidR="00000000" w:rsidRPr="002A231D" w:rsidP="002A231D">
      <w:pPr>
        <w:pStyle w:val="Heading1"/>
      </w:pPr>
      <w:bookmarkStart w:id="5" w:name="O_986674"/>
      <w:bookmarkEnd w:id="5"/>
      <w:r w:rsidRPr="002A231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2A231D">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Performance criteria describe the performance needed to demonstrate achievement of the element.</w:t>
            </w:r>
          </w:p>
        </w:tc>
      </w:tr>
      <w:tr w:rsidTr="002A23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A231D" w:rsidP="002A231D">
            <w:pPr>
              <w:pStyle w:val="BodyText"/>
            </w:pPr>
            <w:r w:rsidRPr="002A231D">
              <w:t>1</w:t>
            </w:r>
          </w:p>
        </w:tc>
        <w:tc>
          <w:tcPr>
            <w:tcW w:w="1962" w:type="dxa"/>
            <w:vMerge w:val="restart"/>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rPr>
                <w:rStyle w:val="SpecialBold"/>
              </w:rPr>
              <w:t>Prepare automated analysis system for operation</w:t>
            </w:r>
          </w:p>
        </w:tc>
        <w:tc>
          <w:tcPr>
            <w:tcW w:w="77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1.1</w:t>
            </w:r>
          </w:p>
        </w:tc>
        <w:tc>
          <w:tcPr>
            <w:tcW w:w="561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Confirm equipment status, shift priorities, work flow issues and/or specific client requirements with su</w:t>
            </w:r>
            <w:r w:rsidRPr="002A231D">
              <w:t>pervisor and other operators</w:t>
            </w:r>
          </w:p>
        </w:tc>
      </w:tr>
      <w:tr w:rsidTr="002A23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1.2</w:t>
            </w:r>
          </w:p>
        </w:tc>
        <w:tc>
          <w:tcPr>
            <w:tcW w:w="561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Plan or adjust work flow to suit maintenance or servicing as required</w:t>
            </w:r>
          </w:p>
        </w:tc>
      </w:tr>
      <w:tr w:rsidTr="002A23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1.3</w:t>
            </w:r>
          </w:p>
        </w:tc>
        <w:tc>
          <w:tcPr>
            <w:tcW w:w="561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Review job requests to identify samples/batches, required operating parameters and any special instructions/analyses for each</w:t>
            </w:r>
          </w:p>
        </w:tc>
      </w:tr>
      <w:tr w:rsidTr="002A23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1.4</w:t>
            </w:r>
          </w:p>
        </w:tc>
        <w:tc>
          <w:tcPr>
            <w:tcW w:w="561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Identify hazards, safety equipment and safe work procedures associated with samples, reagents, analytical methods and operating robotic arms</w:t>
            </w:r>
          </w:p>
        </w:tc>
      </w:tr>
      <w:tr w:rsidTr="002A23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1.5</w:t>
            </w:r>
          </w:p>
        </w:tc>
        <w:tc>
          <w:tcPr>
            <w:tcW w:w="561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Perform routine system checks at start of shift</w:t>
            </w:r>
          </w:p>
        </w:tc>
      </w:tr>
      <w:tr w:rsidTr="002A231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A231D">
            <w:pPr>
              <w:pStyle w:val="BodyText"/>
              <w:rPr>
                <w:lang w:val="en-NZ"/>
              </w:rPr>
            </w:pPr>
          </w:p>
        </w:tc>
      </w:tr>
      <w:tr w:rsidTr="002A23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A231D" w:rsidP="002A231D">
            <w:pPr>
              <w:pStyle w:val="BodyText"/>
            </w:pPr>
            <w:r w:rsidRPr="002A231D">
              <w:t>2</w:t>
            </w:r>
          </w:p>
        </w:tc>
        <w:tc>
          <w:tcPr>
            <w:tcW w:w="1962" w:type="dxa"/>
            <w:vMerge w:val="restart"/>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rPr>
                <w:rStyle w:val="SpecialBold"/>
              </w:rPr>
              <w:t>Conduct or monitor loading of samples into system</w:t>
            </w:r>
          </w:p>
        </w:tc>
        <w:tc>
          <w:tcPr>
            <w:tcW w:w="77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2.1</w:t>
            </w:r>
          </w:p>
        </w:tc>
        <w:tc>
          <w:tcPr>
            <w:tcW w:w="561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 xml:space="preserve">For systems with a manual in-feed station, prepare vials with the specified sample volume and load them in the correct sequence </w:t>
            </w:r>
          </w:p>
        </w:tc>
      </w:tr>
      <w:tr w:rsidTr="002A23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2.2</w:t>
            </w:r>
          </w:p>
        </w:tc>
        <w:tc>
          <w:tcPr>
            <w:tcW w:w="561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For fully automated systems, monitor sample in-feed station to ensure vials contain specified minimum volumes</w:t>
            </w:r>
          </w:p>
        </w:tc>
      </w:tr>
      <w:tr w:rsidTr="002A231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A231D">
            <w:pPr>
              <w:pStyle w:val="BodyText"/>
              <w:rPr>
                <w:lang w:val="en-NZ"/>
              </w:rPr>
            </w:pPr>
          </w:p>
        </w:tc>
      </w:tr>
      <w:tr w:rsidTr="002A23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A231D" w:rsidP="002A231D">
            <w:pPr>
              <w:pStyle w:val="BodyText"/>
            </w:pPr>
            <w:r w:rsidRPr="002A231D">
              <w:t>3</w:t>
            </w:r>
          </w:p>
        </w:tc>
        <w:tc>
          <w:tcPr>
            <w:tcW w:w="1962" w:type="dxa"/>
            <w:vMerge w:val="restart"/>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rPr>
                <w:rStyle w:val="SpecialBold"/>
              </w:rPr>
              <w:t>Monitor and adjust system operation</w:t>
            </w:r>
          </w:p>
        </w:tc>
        <w:tc>
          <w:tcPr>
            <w:tcW w:w="77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3.1</w:t>
            </w:r>
          </w:p>
        </w:tc>
        <w:tc>
          <w:tcPr>
            <w:tcW w:w="561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Adjust system operating parameters, such as furnace temperature, to suit specific batch requirements</w:t>
            </w:r>
          </w:p>
        </w:tc>
      </w:tr>
      <w:tr w:rsidTr="002A23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3.2</w:t>
            </w:r>
          </w:p>
        </w:tc>
        <w:tc>
          <w:tcPr>
            <w:tcW w:w="561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Monitor control screens continuously and respond promptly to error codes</w:t>
            </w:r>
          </w:p>
        </w:tc>
      </w:tr>
      <w:tr w:rsidTr="002A23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3.3</w:t>
            </w:r>
          </w:p>
        </w:tc>
        <w:tc>
          <w:tcPr>
            <w:tcW w:w="561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Conduct regular visual checks to ensure that system elements are operating correctly</w:t>
            </w:r>
          </w:p>
        </w:tc>
      </w:tr>
      <w:tr w:rsidTr="002A23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3.4</w:t>
            </w:r>
          </w:p>
        </w:tc>
        <w:tc>
          <w:tcPr>
            <w:tcW w:w="561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Interpret routine error codes to identify faulty system elements</w:t>
            </w:r>
          </w:p>
        </w:tc>
      </w:tr>
      <w:tr w:rsidTr="002A23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3.5</w:t>
            </w:r>
          </w:p>
        </w:tc>
        <w:tc>
          <w:tcPr>
            <w:tcW w:w="561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Take control of system and activate interlocks to isolate relevant system elements before in</w:t>
            </w:r>
            <w:r w:rsidRPr="002A231D">
              <w:t>vestigating faults</w:t>
            </w:r>
          </w:p>
        </w:tc>
      </w:tr>
      <w:tr w:rsidTr="002A23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3.6</w:t>
            </w:r>
          </w:p>
        </w:tc>
        <w:tc>
          <w:tcPr>
            <w:tcW w:w="561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 xml:space="preserve">Clean and reposition robots, vials, crucibles or other </w:t>
            </w:r>
            <w:r w:rsidRPr="002A231D">
              <w:t>system elements as necessary</w:t>
            </w:r>
          </w:p>
        </w:tc>
      </w:tr>
      <w:tr w:rsidTr="002A23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3.7</w:t>
            </w:r>
          </w:p>
        </w:tc>
        <w:tc>
          <w:tcPr>
            <w:tcW w:w="561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Use appropriate system checks and commands to reset system elements, re-enter sample data and resume operations</w:t>
            </w:r>
          </w:p>
        </w:tc>
      </w:tr>
      <w:tr w:rsidTr="002A23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3.8</w:t>
            </w:r>
          </w:p>
        </w:tc>
        <w:tc>
          <w:tcPr>
            <w:tcW w:w="561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Seek advice about dealing with any situation beyond scope of responsibility or knowledge</w:t>
            </w:r>
          </w:p>
        </w:tc>
      </w:tr>
      <w:tr w:rsidTr="002A23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3.9</w:t>
            </w:r>
          </w:p>
        </w:tc>
        <w:tc>
          <w:tcPr>
            <w:tcW w:w="561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Liaise with and assist relevant service personnel to ensure major breakdowns are rectified promptly</w:t>
            </w:r>
          </w:p>
        </w:tc>
      </w:tr>
      <w:tr w:rsidTr="002A231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A231D">
            <w:pPr>
              <w:pStyle w:val="BodyText"/>
              <w:rPr>
                <w:lang w:val="en-NZ"/>
              </w:rPr>
            </w:pPr>
          </w:p>
        </w:tc>
      </w:tr>
      <w:tr w:rsidTr="002A23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A231D" w:rsidP="002A231D">
            <w:pPr>
              <w:pStyle w:val="BodyText"/>
            </w:pPr>
            <w:r w:rsidRPr="002A231D">
              <w:t>4</w:t>
            </w:r>
          </w:p>
        </w:tc>
        <w:tc>
          <w:tcPr>
            <w:tcW w:w="1962" w:type="dxa"/>
            <w:vMerge w:val="restart"/>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4.1</w:t>
            </w:r>
          </w:p>
        </w:tc>
        <w:tc>
          <w:tcPr>
            <w:tcW w:w="561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Use safe work practices, safety equipment and personal protective equipment (PPE) to ensure personal safety and that of others</w:t>
            </w:r>
          </w:p>
        </w:tc>
      </w:tr>
      <w:tr w:rsidTr="002A23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4.2</w:t>
            </w:r>
          </w:p>
        </w:tc>
        <w:tc>
          <w:tcPr>
            <w:tcW w:w="561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Clean and maintain system elements, maintain consumable stocks, and care for and store equipment as required</w:t>
            </w:r>
          </w:p>
        </w:tc>
      </w:tr>
      <w:tr w:rsidTr="002A23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4.3</w:t>
            </w:r>
          </w:p>
        </w:tc>
        <w:tc>
          <w:tcPr>
            <w:tcW w:w="561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Minimise the generation of waste and environmental impacts</w:t>
            </w:r>
          </w:p>
        </w:tc>
      </w:tr>
      <w:tr w:rsidTr="002A23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31D">
            <w:pPr>
              <w:pStyle w:val="BodyText"/>
              <w:rPr>
                <w:lang w:val="en-NZ"/>
              </w:rPr>
            </w:pPr>
            <w:r w:rsidRPr="002A231D">
              <w:t>4.4</w:t>
            </w:r>
          </w:p>
        </w:tc>
        <w:tc>
          <w:tcPr>
            <w:tcW w:w="5610" w:type="dxa"/>
            <w:tcBorders>
              <w:top w:val="nil"/>
              <w:left w:val="nil"/>
              <w:bottom w:val="nil"/>
              <w:right w:val="nil"/>
            </w:tcBorders>
            <w:tcMar>
              <w:top w:w="0" w:type="dxa"/>
              <w:left w:w="62" w:type="dxa"/>
              <w:bottom w:w="0" w:type="dxa"/>
              <w:right w:w="62" w:type="dxa"/>
            </w:tcMar>
          </w:tcPr>
          <w:p w:rsidR="00000000" w:rsidRPr="002A231D" w:rsidP="002A231D">
            <w:pPr>
              <w:pStyle w:val="BodyText"/>
            </w:pPr>
            <w:r w:rsidRPr="002A231D">
              <w:t>Segregate and dispose of wastes in accordance with workplace requirements</w:t>
            </w:r>
          </w:p>
        </w:tc>
      </w:tr>
    </w:tbl>
    <w:p w:rsidR="00000000" w:rsidRPr="002A231D" w:rsidP="002A231D">
      <w:pPr>
        <w:pStyle w:val="BodyText"/>
      </w:pPr>
    </w:p>
    <w:p w:rsidR="00000000" w:rsidRPr="002A231D" w:rsidP="002A231D">
      <w:pPr>
        <w:pStyle w:val="AllowPageBreak"/>
      </w:pPr>
    </w:p>
    <w:p w:rsidR="00000000" w:rsidRPr="002A231D" w:rsidP="002A231D">
      <w:pPr>
        <w:pStyle w:val="Heading1"/>
      </w:pPr>
      <w:bookmarkStart w:id="6" w:name="O_986673"/>
      <w:bookmarkEnd w:id="6"/>
      <w:r w:rsidRPr="002A231D">
        <w:t>Foundation Skills</w:t>
      </w:r>
    </w:p>
    <w:p w:rsidR="00000000" w:rsidRPr="002A231D" w:rsidP="0047540F">
      <w:pPr>
        <w:pStyle w:val="BodyText"/>
      </w:pPr>
      <w:r w:rsidRPr="002A231D">
        <w:t>This section describes those language, literacy, numeracy and employment skills</w:t>
      </w:r>
      <w:r w:rsidRPr="002A231D">
        <w:t xml:space="preserve"> that are essential to performance.</w:t>
      </w:r>
    </w:p>
    <w:p w:rsidR="00000000" w:rsidRPr="002A231D" w:rsidP="002A231D">
      <w:pPr>
        <w:pStyle w:val="ListBullet"/>
      </w:pPr>
      <w:r w:rsidRPr="002A231D">
        <w:t>Problem solving skills to recognise potential issues caused by prior sample handling and/or preparation and rectify.</w:t>
      </w:r>
    </w:p>
    <w:p w:rsidR="00000000" w:rsidRPr="002A231D" w:rsidP="0047540F">
      <w:pPr>
        <w:pStyle w:val="BodyText"/>
      </w:pPr>
      <w:r w:rsidRPr="002A231D">
        <w:t xml:space="preserve">Other foundation skills essential to performance are explicit in the performance criteria </w:t>
      </w:r>
      <w:r w:rsidRPr="002A231D">
        <w:t>of this unit.</w:t>
      </w:r>
    </w:p>
    <w:p w:rsidR="00000000" w:rsidRPr="002A231D" w:rsidP="002A231D">
      <w:pPr>
        <w:pStyle w:val="Heading1"/>
      </w:pPr>
      <w:bookmarkStart w:id="7" w:name="O_986672"/>
      <w:bookmarkEnd w:id="7"/>
      <w:r w:rsidRPr="002A231D">
        <w:t>Unit Mapping Information</w:t>
      </w:r>
    </w:p>
    <w:p w:rsidR="00000000" w:rsidRPr="002A231D" w:rsidP="0047540F">
      <w:pPr>
        <w:pStyle w:val="BodyText"/>
      </w:pPr>
      <w:r w:rsidRPr="002A231D">
        <w:t>Equivalent to MSL974015 Operate an automated mineral analysis system, Release 1.</w:t>
      </w:r>
    </w:p>
    <w:p w:rsidR="00000000" w:rsidRPr="002A231D" w:rsidP="002A231D">
      <w:pPr>
        <w:pStyle w:val="Heading1"/>
      </w:pPr>
      <w:bookmarkStart w:id="8" w:name="O_986665"/>
      <w:bookmarkEnd w:id="8"/>
      <w:r w:rsidRPr="002A231D">
        <w:t>Links</w:t>
      </w:r>
    </w:p>
    <w:p w:rsidR="00000000" w:rsidRPr="002A231D" w:rsidP="0047540F">
      <w:pPr>
        <w:pStyle w:val="BodyText"/>
      </w:pPr>
      <w:r w:rsidRPr="002A231D">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CD5A8D">
        <w:rPr>
          <w:rStyle w:val="Hyperlink"/>
        </w:rPr>
        <w:t>https://vetnet.gov.au/Pages/TrainingDocs.aspx?q=5c63a03b-4a6b-4ae5-9560-1e3c5f462baa</w:t>
      </w:r>
      <w:r>
        <w:fldChar w:fldCharType="end"/>
      </w:r>
    </w:p>
    <w:p w:rsidR="00000000" w:rsidRPr="002A231D" w:rsidP="002A231D"/>
    <w:sectPr w:rsidSect="002A23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1D" w:rsidRPr="0047540F" w:rsidP="004754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0F" w:rsidP="002A23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540F" w:rsidP="002A23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540F" w:rsidP="002A23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231D" w:rsidRPr="0047540F" w:rsidP="004754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0F" w:rsidRPr="002D2AF8" w:rsidP="002A231D">
    <w:pPr>
      <w:pStyle w:val="Header"/>
      <w:framePr w:wrap="around"/>
    </w:pPr>
    <w:r>
      <w:fldChar w:fldCharType="begin"/>
    </w:r>
    <w:r>
      <w:instrText xml:space="preserve"> TITLE   \* MERGEFORMAT </w:instrText>
    </w:r>
    <w:r>
      <w:fldChar w:fldCharType="separate"/>
    </w:r>
    <w:r>
      <w:t>MSL974029 Operate an automated mineral analysis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47540F" w:rsidP="002A23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22E4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8A61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3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231D"/>
    <w:pPr>
      <w:spacing w:before="360" w:after="60"/>
      <w:outlineLvl w:val="0"/>
    </w:pPr>
    <w:rPr>
      <w:sz w:val="32"/>
    </w:rPr>
  </w:style>
  <w:style w:type="paragraph" w:styleId="Heading2">
    <w:name w:val="heading 2"/>
    <w:basedOn w:val="HeadingBase"/>
    <w:next w:val="BodyText"/>
    <w:link w:val="Heading2Char"/>
    <w:qFormat/>
    <w:rsid w:val="002A231D"/>
    <w:pPr>
      <w:keepLines/>
      <w:spacing w:before="240" w:after="120"/>
      <w:outlineLvl w:val="1"/>
    </w:pPr>
    <w:rPr>
      <w:sz w:val="28"/>
      <w:szCs w:val="40"/>
    </w:rPr>
  </w:style>
  <w:style w:type="paragraph" w:styleId="Heading3">
    <w:name w:val="heading 3"/>
    <w:basedOn w:val="HeadingBase"/>
    <w:next w:val="BodyText"/>
    <w:link w:val="Heading3Char"/>
    <w:qFormat/>
    <w:rsid w:val="002A231D"/>
    <w:pPr>
      <w:spacing w:before="180" w:after="120"/>
      <w:outlineLvl w:val="2"/>
    </w:pPr>
    <w:rPr>
      <w:spacing w:val="-10"/>
      <w:kern w:val="32"/>
    </w:rPr>
  </w:style>
  <w:style w:type="paragraph" w:styleId="Heading4">
    <w:name w:val="heading 4"/>
    <w:basedOn w:val="HeadingBase"/>
    <w:next w:val="BodyText"/>
    <w:link w:val="Heading4Char"/>
    <w:qFormat/>
    <w:rsid w:val="002A231D"/>
    <w:pPr>
      <w:spacing w:before="160" w:after="120"/>
      <w:outlineLvl w:val="3"/>
    </w:pPr>
    <w:rPr>
      <w:sz w:val="22"/>
    </w:rPr>
  </w:style>
  <w:style w:type="paragraph" w:styleId="Heading5">
    <w:name w:val="heading 5"/>
    <w:basedOn w:val="HeadingBase"/>
    <w:next w:val="Normal"/>
    <w:link w:val="Heading5Char"/>
    <w:qFormat/>
    <w:rsid w:val="002A231D"/>
    <w:pPr>
      <w:spacing w:before="80"/>
      <w:outlineLvl w:val="4"/>
    </w:pPr>
    <w:rPr>
      <w:color w:val="918585"/>
      <w:sz w:val="20"/>
    </w:rPr>
  </w:style>
  <w:style w:type="paragraph" w:styleId="Heading6">
    <w:name w:val="heading 6"/>
    <w:basedOn w:val="HeadingBase"/>
    <w:next w:val="Normal"/>
    <w:link w:val="Heading6Char"/>
    <w:qFormat/>
    <w:rsid w:val="002A231D"/>
    <w:pPr>
      <w:spacing w:before="60"/>
      <w:outlineLvl w:val="5"/>
    </w:pPr>
    <w:rPr>
      <w:color w:val="918585"/>
      <w:sz w:val="20"/>
    </w:rPr>
  </w:style>
  <w:style w:type="paragraph" w:styleId="Heading7">
    <w:name w:val="heading 7"/>
    <w:basedOn w:val="Normal"/>
    <w:next w:val="Normal"/>
    <w:link w:val="Heading7Char"/>
    <w:qFormat/>
    <w:rsid w:val="002A231D"/>
    <w:pPr>
      <w:ind w:left="720"/>
      <w:outlineLvl w:val="6"/>
    </w:pPr>
    <w:rPr>
      <w:i/>
    </w:rPr>
  </w:style>
  <w:style w:type="paragraph" w:styleId="Heading8">
    <w:name w:val="heading 8"/>
    <w:basedOn w:val="Normal"/>
    <w:next w:val="Normal"/>
    <w:link w:val="Heading8Char"/>
    <w:qFormat/>
    <w:rsid w:val="002A231D"/>
    <w:pPr>
      <w:ind w:left="720"/>
      <w:outlineLvl w:val="7"/>
    </w:pPr>
    <w:rPr>
      <w:i/>
    </w:rPr>
  </w:style>
  <w:style w:type="paragraph" w:styleId="Heading9">
    <w:name w:val="heading 9"/>
    <w:basedOn w:val="Normal"/>
    <w:next w:val="Normal"/>
    <w:link w:val="Heading9Char"/>
    <w:qFormat/>
    <w:rsid w:val="002A231D"/>
    <w:pPr>
      <w:ind w:left="720"/>
      <w:outlineLvl w:val="8"/>
    </w:pPr>
    <w:rPr>
      <w:i/>
    </w:rPr>
  </w:style>
  <w:style w:type="character" w:default="1" w:styleId="DefaultParagraphFont">
    <w:name w:val="Default Paragraph Font"/>
    <w:uiPriority w:val="1"/>
    <w:unhideWhenUsed/>
    <w:rsid w:val="002A23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31D"/>
  </w:style>
  <w:style w:type="character" w:customStyle="1" w:styleId="Heading1Char">
    <w:name w:val="Heading 1 Char"/>
    <w:basedOn w:val="DefaultParagraphFont"/>
    <w:link w:val="Heading1"/>
    <w:rsid w:val="002A231D"/>
    <w:rPr>
      <w:rFonts w:ascii="Times New Roman" w:eastAsia="Times New Roman" w:hAnsi="Times New Roman" w:cs="Times New Roman"/>
      <w:b/>
      <w:sz w:val="32"/>
      <w:szCs w:val="20"/>
      <w:lang w:eastAsia="en-US"/>
    </w:rPr>
  </w:style>
  <w:style w:type="paragraph" w:styleId="BodyText">
    <w:name w:val="Body Text"/>
    <w:basedOn w:val="Normal"/>
    <w:link w:val="BodyTextChar"/>
    <w:rsid w:val="002A23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231D"/>
    <w:rPr>
      <w:rFonts w:ascii="Times New Roman" w:eastAsia="Times New Roman" w:hAnsi="Times New Roman" w:cs="Times New Roman"/>
      <w:sz w:val="24"/>
      <w:lang w:eastAsia="en-US"/>
    </w:rPr>
  </w:style>
  <w:style w:type="paragraph" w:styleId="ListBullet">
    <w:name w:val="List Bullet"/>
    <w:basedOn w:val="List"/>
    <w:rsid w:val="002A231D"/>
    <w:pPr>
      <w:numPr>
        <w:numId w:val="11"/>
      </w:numPr>
      <w:tabs>
        <w:tab w:val="clear" w:pos="340"/>
      </w:tabs>
      <w:spacing w:before="40" w:after="40"/>
    </w:pPr>
  </w:style>
  <w:style w:type="character" w:customStyle="1" w:styleId="SpecialBold">
    <w:name w:val="Special Bold"/>
    <w:basedOn w:val="DefaultParagraphFont"/>
    <w:rsid w:val="002A231D"/>
    <w:rPr>
      <w:b/>
      <w:spacing w:val="0"/>
    </w:rPr>
  </w:style>
  <w:style w:type="character" w:styleId="Emphasis">
    <w:name w:val="Emphasis"/>
    <w:basedOn w:val="DefaultParagraphFont"/>
    <w:qFormat/>
    <w:rsid w:val="002A231D"/>
    <w:rPr>
      <w:i/>
    </w:rPr>
  </w:style>
  <w:style w:type="paragraph" w:customStyle="1" w:styleId="SuperHeading">
    <w:name w:val="SuperHeading"/>
    <w:basedOn w:val="Normal"/>
    <w:rsid w:val="002A231D"/>
    <w:pPr>
      <w:spacing w:before="240" w:after="120"/>
      <w:outlineLvl w:val="0"/>
    </w:pPr>
    <w:rPr>
      <w:rFonts w:ascii="Times New Roman" w:hAnsi="Times New Roman"/>
      <w:b/>
      <w:sz w:val="32"/>
    </w:rPr>
  </w:style>
  <w:style w:type="paragraph" w:customStyle="1" w:styleId="AllowPageBreak">
    <w:name w:val="AllowPageBreak"/>
    <w:rsid w:val="002A23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23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3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3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3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3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3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23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231D"/>
    <w:rPr>
      <w:rFonts w:ascii="Courier New" w:eastAsia="Times New Roman" w:hAnsi="Courier New" w:cs="Times New Roman"/>
      <w:i/>
      <w:szCs w:val="20"/>
      <w:lang w:eastAsia="en-US"/>
    </w:rPr>
  </w:style>
  <w:style w:type="paragraph" w:customStyle="1" w:styleId="HeadingBase">
    <w:name w:val="Heading Base"/>
    <w:rsid w:val="002A23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31D"/>
    <w:pPr>
      <w:tabs>
        <w:tab w:val="right" w:leader="dot" w:pos="9072"/>
      </w:tabs>
      <w:ind w:left="567"/>
    </w:pPr>
    <w:rPr>
      <w:szCs w:val="22"/>
    </w:rPr>
  </w:style>
  <w:style w:type="paragraph" w:customStyle="1" w:styleId="TOCBase">
    <w:name w:val="TOC Base"/>
    <w:rsid w:val="002A23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31D"/>
    <w:pPr>
      <w:tabs>
        <w:tab w:val="right" w:leader="dot" w:pos="9072"/>
      </w:tabs>
      <w:spacing w:before="40" w:after="40"/>
      <w:ind w:left="284"/>
    </w:pPr>
    <w:rPr>
      <w:rFonts w:ascii="Times New Roman" w:hAnsi="Times New Roman"/>
    </w:rPr>
  </w:style>
  <w:style w:type="paragraph" w:styleId="TOC1">
    <w:name w:val="toc 1"/>
    <w:basedOn w:val="TOCBase"/>
    <w:next w:val="Normal"/>
    <w:rsid w:val="002A23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23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31D"/>
    <w:rPr>
      <w:rFonts w:ascii="Times New Roman" w:eastAsia="Times New Roman" w:hAnsi="Times New Roman" w:cs="Times New Roman"/>
      <w:sz w:val="16"/>
      <w:lang w:eastAsia="en-US"/>
    </w:rPr>
  </w:style>
  <w:style w:type="paragraph" w:styleId="Title">
    <w:name w:val="Title"/>
    <w:basedOn w:val="HeadingBase"/>
    <w:link w:val="TitleChar"/>
    <w:qFormat/>
    <w:rsid w:val="002A231D"/>
    <w:pPr>
      <w:spacing w:before="5040"/>
      <w:jc w:val="center"/>
    </w:pPr>
    <w:rPr>
      <w:sz w:val="48"/>
      <w:szCs w:val="72"/>
      <w:lang w:val="en-US"/>
    </w:rPr>
  </w:style>
  <w:style w:type="character" w:customStyle="1" w:styleId="TitleChar">
    <w:name w:val="Title Char"/>
    <w:basedOn w:val="DefaultParagraphFont"/>
    <w:link w:val="Title"/>
    <w:rsid w:val="002A23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31D"/>
    <w:pPr>
      <w:tabs>
        <w:tab w:val="left" w:pos="3600"/>
        <w:tab w:val="left" w:pos="3958"/>
      </w:tabs>
    </w:pPr>
  </w:style>
  <w:style w:type="paragraph" w:styleId="List">
    <w:name w:val="List"/>
    <w:basedOn w:val="BodyText"/>
    <w:next w:val="BodyText"/>
    <w:rsid w:val="002A231D"/>
    <w:pPr>
      <w:tabs>
        <w:tab w:val="left" w:pos="340"/>
      </w:tabs>
      <w:spacing w:before="60" w:after="60"/>
      <w:ind w:left="340" w:hanging="340"/>
    </w:pPr>
  </w:style>
  <w:style w:type="paragraph" w:customStyle="1" w:styleId="Note">
    <w:name w:val="Note"/>
    <w:basedOn w:val="BodyText"/>
    <w:rsid w:val="002A23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31D"/>
    <w:pPr>
      <w:framePr w:wrap="auto" w:hAnchor="text" w:y="6049"/>
    </w:pPr>
    <w:rPr>
      <w:color w:val="000000"/>
      <w:sz w:val="40"/>
    </w:rPr>
  </w:style>
  <w:style w:type="paragraph" w:customStyle="1" w:styleId="TOCTitle">
    <w:name w:val="TOCTitle"/>
    <w:basedOn w:val="Heading1"/>
    <w:rsid w:val="002A231D"/>
    <w:pPr>
      <w:spacing w:after="240"/>
      <w:jc w:val="center"/>
      <w:outlineLvl w:val="9"/>
    </w:pPr>
    <w:rPr>
      <w:caps/>
    </w:rPr>
  </w:style>
  <w:style w:type="paragraph" w:customStyle="1" w:styleId="Version">
    <w:name w:val="Version"/>
    <w:rsid w:val="002A23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231D"/>
    <w:pPr>
      <w:numPr>
        <w:numId w:val="12"/>
      </w:numPr>
      <w:tabs>
        <w:tab w:val="clear" w:pos="680"/>
      </w:tabs>
    </w:pPr>
  </w:style>
  <w:style w:type="paragraph" w:styleId="Index1">
    <w:name w:val="index 1"/>
    <w:basedOn w:val="Normal"/>
    <w:next w:val="Normal"/>
    <w:semiHidden/>
    <w:rsid w:val="002A231D"/>
    <w:pPr>
      <w:keepNext w:val="0"/>
      <w:tabs>
        <w:tab w:val="right" w:pos="4176"/>
      </w:tabs>
      <w:ind w:left="198" w:hanging="198"/>
    </w:pPr>
    <w:rPr>
      <w:rFonts w:ascii="Garamond" w:hAnsi="Garamond"/>
    </w:rPr>
  </w:style>
  <w:style w:type="paragraph" w:styleId="IndexHeading">
    <w:name w:val="index heading"/>
    <w:basedOn w:val="Normal"/>
    <w:next w:val="Index1"/>
    <w:semiHidden/>
    <w:rsid w:val="002A231D"/>
    <w:pPr>
      <w:spacing w:before="120" w:after="120"/>
    </w:pPr>
    <w:rPr>
      <w:rFonts w:ascii="Arial" w:hAnsi="Arial"/>
      <w:b/>
      <w:color w:val="918585"/>
      <w:sz w:val="24"/>
    </w:rPr>
  </w:style>
  <w:style w:type="paragraph" w:styleId="Header">
    <w:name w:val="header"/>
    <w:basedOn w:val="Normal"/>
    <w:link w:val="HeaderChar"/>
    <w:rsid w:val="002A23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31D"/>
    <w:rPr>
      <w:rFonts w:ascii="Times New Roman" w:eastAsia="Times New Roman" w:hAnsi="Times New Roman" w:cs="Times New Roman"/>
      <w:sz w:val="16"/>
      <w:szCs w:val="20"/>
      <w:lang w:val="en-GB" w:eastAsia="en-US"/>
    </w:rPr>
  </w:style>
  <w:style w:type="paragraph" w:customStyle="1" w:styleId="Chapter">
    <w:name w:val="Chapter"/>
    <w:basedOn w:val="Normal"/>
    <w:rsid w:val="002A231D"/>
    <w:pPr>
      <w:spacing w:before="240"/>
    </w:pPr>
    <w:rPr>
      <w:rFonts w:ascii="Times New Roman" w:hAnsi="Times New Roman"/>
      <w:smallCaps/>
      <w:spacing w:val="80"/>
      <w:sz w:val="28"/>
    </w:rPr>
  </w:style>
  <w:style w:type="paragraph" w:customStyle="1" w:styleId="InChapter">
    <w:name w:val="InChapter"/>
    <w:basedOn w:val="Heading3"/>
    <w:rsid w:val="002A231D"/>
    <w:pPr>
      <w:spacing w:after="240"/>
      <w:outlineLvl w:val="9"/>
    </w:pPr>
    <w:rPr>
      <w:noProof/>
    </w:rPr>
  </w:style>
  <w:style w:type="paragraph" w:styleId="Index2">
    <w:name w:val="index 2"/>
    <w:basedOn w:val="Normal"/>
    <w:next w:val="Normal"/>
    <w:semiHidden/>
    <w:rsid w:val="002A231D"/>
    <w:pPr>
      <w:tabs>
        <w:tab w:val="right" w:pos="4176"/>
      </w:tabs>
      <w:ind w:left="568" w:hanging="284"/>
    </w:pPr>
    <w:rPr>
      <w:rFonts w:ascii="Garamond" w:hAnsi="Garamond"/>
    </w:rPr>
  </w:style>
  <w:style w:type="paragraph" w:customStyle="1" w:styleId="Byline">
    <w:name w:val="Byline"/>
    <w:rsid w:val="002A23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31D"/>
    <w:pPr>
      <w:tabs>
        <w:tab w:val="clear" w:pos="3600"/>
        <w:tab w:val="clear" w:pos="3958"/>
      </w:tabs>
      <w:jc w:val="right"/>
    </w:pPr>
  </w:style>
  <w:style w:type="paragraph" w:styleId="Caption">
    <w:name w:val="caption"/>
    <w:basedOn w:val="BodyText"/>
    <w:next w:val="Normal"/>
    <w:qFormat/>
    <w:rsid w:val="002A231D"/>
    <w:pPr>
      <w:framePr w:w="2268" w:hSpace="181" w:vSpace="181" w:wrap="around" w:vAnchor="text" w:hAnchor="page" w:x="1135" w:y="285" w:anchorLock="1"/>
    </w:pPr>
    <w:rPr>
      <w:i/>
    </w:rPr>
  </w:style>
  <w:style w:type="paragraph" w:customStyle="1" w:styleId="MiniTOCTitle">
    <w:name w:val="MiniTOCTitle"/>
    <w:basedOn w:val="Heading4"/>
    <w:rsid w:val="002A231D"/>
    <w:pPr>
      <w:spacing w:before="240"/>
      <w:outlineLvl w:val="9"/>
    </w:pPr>
    <w:rPr>
      <w:noProof/>
      <w:sz w:val="24"/>
    </w:rPr>
  </w:style>
  <w:style w:type="paragraph" w:customStyle="1" w:styleId="MiniTOCItem">
    <w:name w:val="MiniTOCItem"/>
    <w:basedOn w:val="ListBullet"/>
    <w:rsid w:val="002A231D"/>
    <w:pPr>
      <w:numPr>
        <w:numId w:val="0"/>
      </w:numPr>
      <w:tabs>
        <w:tab w:val="right" w:leader="dot" w:pos="6521"/>
      </w:tabs>
      <w:spacing w:before="0" w:after="0"/>
    </w:pPr>
  </w:style>
  <w:style w:type="paragraph" w:customStyle="1" w:styleId="TOFTitle">
    <w:name w:val="TOFTitle"/>
    <w:basedOn w:val="TOCTitle"/>
    <w:rsid w:val="002A231D"/>
  </w:style>
  <w:style w:type="paragraph" w:styleId="TableofFigures">
    <w:name w:val="table of figures"/>
    <w:basedOn w:val="Normal"/>
    <w:next w:val="Normal"/>
    <w:semiHidden/>
    <w:rsid w:val="002A231D"/>
    <w:pPr>
      <w:tabs>
        <w:tab w:val="right" w:leader="dot" w:pos="9072"/>
      </w:tabs>
      <w:ind w:left="970" w:hanging="403"/>
    </w:pPr>
    <w:rPr>
      <w:rFonts w:ascii="Times New Roman" w:hAnsi="Times New Roman"/>
      <w:b/>
    </w:rPr>
  </w:style>
  <w:style w:type="paragraph" w:styleId="ListNumber">
    <w:name w:val="List Number"/>
    <w:basedOn w:val="List"/>
    <w:rsid w:val="002A231D"/>
    <w:pPr>
      <w:numPr>
        <w:numId w:val="14"/>
      </w:numPr>
      <w:tabs>
        <w:tab w:val="clear" w:pos="340"/>
      </w:tabs>
    </w:pPr>
  </w:style>
  <w:style w:type="character" w:customStyle="1" w:styleId="WingdingSymbols">
    <w:name w:val="Wingding Symbols"/>
    <w:rsid w:val="002A231D"/>
    <w:rPr>
      <w:rFonts w:ascii="Wingdings" w:hAnsi="Wingdings"/>
    </w:rPr>
  </w:style>
  <w:style w:type="paragraph" w:customStyle="1" w:styleId="TableHeading">
    <w:name w:val="Table Heading"/>
    <w:basedOn w:val="HeadingBase"/>
    <w:rsid w:val="002A231D"/>
    <w:pPr>
      <w:keepLines/>
      <w:pBdr>
        <w:bottom w:val="single" w:sz="6" w:space="1" w:color="918585"/>
      </w:pBdr>
      <w:spacing w:before="240"/>
    </w:pPr>
  </w:style>
  <w:style w:type="character" w:customStyle="1" w:styleId="HotSpot">
    <w:name w:val="HotSpot"/>
    <w:rsid w:val="002A231D"/>
    <w:rPr>
      <w:color w:val="0033CC"/>
      <w:u w:val="none"/>
    </w:rPr>
  </w:style>
  <w:style w:type="paragraph" w:customStyle="1" w:styleId="BodyTextRight">
    <w:name w:val="Body Text Right"/>
    <w:basedOn w:val="BodyText"/>
    <w:rsid w:val="002A231D"/>
    <w:pPr>
      <w:spacing w:before="0" w:after="0"/>
      <w:jc w:val="right"/>
    </w:pPr>
  </w:style>
  <w:style w:type="paragraph" w:styleId="Index3">
    <w:name w:val="index 3"/>
    <w:basedOn w:val="ListNumber2"/>
    <w:next w:val="Normal"/>
    <w:semiHidden/>
    <w:rsid w:val="002A231D"/>
    <w:pPr>
      <w:numPr>
        <w:numId w:val="0"/>
      </w:numPr>
      <w:tabs>
        <w:tab w:val="right" w:leader="dot" w:pos="4176"/>
      </w:tabs>
    </w:pPr>
  </w:style>
  <w:style w:type="paragraph" w:styleId="ListNumber2">
    <w:name w:val="List Number 2"/>
    <w:basedOn w:val="List2"/>
    <w:rsid w:val="002A231D"/>
    <w:pPr>
      <w:numPr>
        <w:numId w:val="9"/>
      </w:numPr>
      <w:tabs>
        <w:tab w:val="clear" w:pos="1060"/>
      </w:tabs>
    </w:pPr>
  </w:style>
  <w:style w:type="paragraph" w:customStyle="1" w:styleId="MarginNote">
    <w:name w:val="Margin Note"/>
    <w:basedOn w:val="BodyText"/>
    <w:rsid w:val="002A23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3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3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231D"/>
    <w:rPr>
      <w:sz w:val="32"/>
    </w:rPr>
  </w:style>
  <w:style w:type="paragraph" w:customStyle="1" w:styleId="HeadingProcedure">
    <w:name w:val="Heading Procedure"/>
    <w:basedOn w:val="HeadingBase"/>
    <w:next w:val="Normal"/>
    <w:rsid w:val="002A231D"/>
    <w:pPr>
      <w:tabs>
        <w:tab w:val="left" w:pos="0"/>
      </w:tabs>
      <w:spacing w:before="120" w:after="60"/>
    </w:pPr>
    <w:rPr>
      <w:i/>
      <w:color w:val="918585"/>
      <w:sz w:val="22"/>
    </w:rPr>
  </w:style>
  <w:style w:type="paragraph" w:customStyle="1" w:styleId="TableBodyText">
    <w:name w:val="Table Body Text"/>
    <w:basedOn w:val="BodyText"/>
    <w:rsid w:val="002A231D"/>
    <w:pPr>
      <w:spacing w:before="60" w:after="60"/>
    </w:pPr>
  </w:style>
  <w:style w:type="paragraph" w:styleId="ListContinue">
    <w:name w:val="List Continue"/>
    <w:basedOn w:val="List"/>
    <w:rsid w:val="002A231D"/>
    <w:pPr>
      <w:ind w:firstLine="0"/>
    </w:pPr>
  </w:style>
  <w:style w:type="paragraph" w:customStyle="1" w:styleId="ListNote">
    <w:name w:val="List Note"/>
    <w:basedOn w:val="List"/>
    <w:rsid w:val="002A231D"/>
    <w:pPr>
      <w:pBdr>
        <w:top w:val="single" w:sz="6" w:space="2" w:color="918585"/>
        <w:bottom w:val="single" w:sz="6" w:space="2" w:color="918585"/>
      </w:pBdr>
      <w:tabs>
        <w:tab w:val="left" w:pos="1021"/>
      </w:tabs>
      <w:ind w:firstLine="0"/>
    </w:pPr>
  </w:style>
  <w:style w:type="paragraph" w:customStyle="1" w:styleId="Warning">
    <w:name w:val="Warning"/>
    <w:basedOn w:val="BodyText"/>
    <w:rsid w:val="002A231D"/>
    <w:pPr>
      <w:shd w:val="clear" w:color="auto" w:fill="D9D9D9"/>
      <w:tabs>
        <w:tab w:val="left" w:pos="992"/>
      </w:tabs>
      <w:ind w:left="119" w:right="119"/>
    </w:pPr>
    <w:rPr>
      <w:sz w:val="20"/>
    </w:rPr>
  </w:style>
  <w:style w:type="paragraph" w:customStyle="1" w:styleId="MarginIcons">
    <w:name w:val="Margin Icons"/>
    <w:basedOn w:val="BodyText"/>
    <w:rsid w:val="002A23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31D"/>
    <w:rPr>
      <w:rFonts w:ascii="Courier New" w:hAnsi="Courier New"/>
    </w:rPr>
  </w:style>
  <w:style w:type="paragraph" w:customStyle="1" w:styleId="NoteBullet">
    <w:name w:val="Note Bullet"/>
    <w:basedOn w:val="Note"/>
    <w:rsid w:val="002A231D"/>
    <w:pPr>
      <w:tabs>
        <w:tab w:val="clear" w:pos="680"/>
      </w:tabs>
      <w:spacing w:before="60" w:after="60"/>
    </w:pPr>
  </w:style>
  <w:style w:type="paragraph" w:customStyle="1" w:styleId="SubHeading2">
    <w:name w:val="SubHeading2"/>
    <w:basedOn w:val="HeadingBase"/>
    <w:rsid w:val="002A231D"/>
    <w:pPr>
      <w:spacing w:before="240" w:after="60"/>
    </w:pPr>
    <w:rPr>
      <w:sz w:val="20"/>
    </w:rPr>
  </w:style>
  <w:style w:type="paragraph" w:customStyle="1" w:styleId="SubHeading1">
    <w:name w:val="SubHeading1"/>
    <w:basedOn w:val="HeadingBase"/>
    <w:rsid w:val="002A231D"/>
    <w:pPr>
      <w:spacing w:before="240" w:after="60"/>
    </w:pPr>
    <w:rPr>
      <w:color w:val="918585"/>
      <w:sz w:val="22"/>
    </w:rPr>
  </w:style>
  <w:style w:type="paragraph" w:customStyle="1" w:styleId="SideHeading">
    <w:name w:val="Side Heading"/>
    <w:basedOn w:val="HeadingBase"/>
    <w:rsid w:val="002A23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31D"/>
    <w:pPr>
      <w:numPr>
        <w:numId w:val="10"/>
      </w:numPr>
    </w:pPr>
  </w:style>
  <w:style w:type="paragraph" w:styleId="PlainText">
    <w:name w:val="Plain Text"/>
    <w:basedOn w:val="Normal"/>
    <w:link w:val="PlainTextChar"/>
    <w:rsid w:val="002A231D"/>
    <w:rPr>
      <w:sz w:val="20"/>
    </w:rPr>
  </w:style>
  <w:style w:type="character" w:customStyle="1" w:styleId="PlainTextChar">
    <w:name w:val="Plain Text Char"/>
    <w:basedOn w:val="DefaultParagraphFont"/>
    <w:link w:val="PlainText"/>
    <w:rsid w:val="002A231D"/>
    <w:rPr>
      <w:rFonts w:ascii="Courier New" w:eastAsia="Times New Roman" w:hAnsi="Courier New" w:cs="Times New Roman"/>
      <w:sz w:val="20"/>
      <w:szCs w:val="20"/>
      <w:lang w:eastAsia="en-US"/>
    </w:rPr>
  </w:style>
  <w:style w:type="character" w:customStyle="1" w:styleId="MenuOption">
    <w:name w:val="Menu Option"/>
    <w:basedOn w:val="DefaultParagraphFont"/>
    <w:rsid w:val="002A231D"/>
    <w:rPr>
      <w:b/>
      <w:smallCaps/>
    </w:rPr>
  </w:style>
  <w:style w:type="paragraph" w:customStyle="1" w:styleId="TableListNumber">
    <w:name w:val="Table List Number"/>
    <w:basedOn w:val="ListNumber"/>
    <w:rsid w:val="002A231D"/>
    <w:pPr>
      <w:numPr>
        <w:numId w:val="0"/>
      </w:numPr>
    </w:pPr>
  </w:style>
  <w:style w:type="paragraph" w:styleId="TOC4">
    <w:name w:val="toc 4"/>
    <w:basedOn w:val="TOCBase"/>
    <w:next w:val="Normal"/>
    <w:semiHidden/>
    <w:rsid w:val="002A231D"/>
    <w:pPr>
      <w:tabs>
        <w:tab w:val="right" w:leader="dot" w:pos="9071"/>
      </w:tabs>
      <w:ind w:left="1701"/>
    </w:pPr>
  </w:style>
  <w:style w:type="paragraph" w:customStyle="1" w:styleId="ListAlpha">
    <w:name w:val="List Alpha"/>
    <w:basedOn w:val="List"/>
    <w:rsid w:val="002A231D"/>
    <w:pPr>
      <w:numPr>
        <w:numId w:val="8"/>
      </w:numPr>
    </w:pPr>
  </w:style>
  <w:style w:type="paragraph" w:customStyle="1" w:styleId="ListAlpha2">
    <w:name w:val="List Alpha 2"/>
    <w:basedOn w:val="List2"/>
    <w:rsid w:val="002A231D"/>
    <w:pPr>
      <w:numPr>
        <w:numId w:val="7"/>
      </w:numPr>
    </w:pPr>
  </w:style>
  <w:style w:type="paragraph" w:styleId="List2">
    <w:name w:val="List 2"/>
    <w:basedOn w:val="BodyText"/>
    <w:rsid w:val="002A231D"/>
    <w:pPr>
      <w:tabs>
        <w:tab w:val="left" w:pos="680"/>
      </w:tabs>
      <w:spacing w:before="60" w:after="60"/>
      <w:ind w:left="680" w:hanging="340"/>
    </w:pPr>
  </w:style>
  <w:style w:type="paragraph" w:styleId="List3">
    <w:name w:val="List 3"/>
    <w:basedOn w:val="BodyText"/>
    <w:rsid w:val="002A231D"/>
    <w:pPr>
      <w:tabs>
        <w:tab w:val="left" w:pos="1021"/>
      </w:tabs>
      <w:spacing w:before="60" w:after="60"/>
      <w:ind w:left="1020" w:hanging="340"/>
    </w:pPr>
  </w:style>
  <w:style w:type="paragraph" w:styleId="List4">
    <w:name w:val="List 4"/>
    <w:basedOn w:val="BodyText"/>
    <w:rsid w:val="002A231D"/>
    <w:pPr>
      <w:tabs>
        <w:tab w:val="left" w:pos="1361"/>
      </w:tabs>
      <w:spacing w:before="60" w:after="60"/>
      <w:ind w:left="1361" w:hanging="340"/>
    </w:pPr>
  </w:style>
  <w:style w:type="paragraph" w:styleId="List5">
    <w:name w:val="List 5"/>
    <w:basedOn w:val="BodyText"/>
    <w:rsid w:val="002A231D"/>
    <w:pPr>
      <w:tabs>
        <w:tab w:val="left" w:pos="1701"/>
      </w:tabs>
      <w:spacing w:before="60" w:after="60"/>
      <w:ind w:left="1701" w:hanging="340"/>
    </w:pPr>
  </w:style>
  <w:style w:type="paragraph" w:styleId="ListBullet3">
    <w:name w:val="List Bullet 3"/>
    <w:basedOn w:val="List3"/>
    <w:rsid w:val="002A231D"/>
    <w:pPr>
      <w:numPr>
        <w:numId w:val="13"/>
      </w:numPr>
      <w:tabs>
        <w:tab w:val="clear" w:pos="1021"/>
      </w:tabs>
      <w:ind w:left="1037" w:hanging="357"/>
    </w:pPr>
  </w:style>
  <w:style w:type="paragraph" w:styleId="ListBullet4">
    <w:name w:val="List Bullet 4"/>
    <w:basedOn w:val="List4"/>
    <w:rsid w:val="002A231D"/>
    <w:pPr>
      <w:numPr>
        <w:numId w:val="2"/>
      </w:numPr>
      <w:tabs>
        <w:tab w:val="clear" w:pos="1361"/>
      </w:tabs>
    </w:pPr>
  </w:style>
  <w:style w:type="paragraph" w:styleId="ListBullet5">
    <w:name w:val="List Bullet 5"/>
    <w:basedOn w:val="List5"/>
    <w:rsid w:val="002A231D"/>
    <w:pPr>
      <w:numPr>
        <w:numId w:val="3"/>
      </w:numPr>
    </w:pPr>
  </w:style>
  <w:style w:type="paragraph" w:styleId="ListContinue2">
    <w:name w:val="List Continue 2"/>
    <w:basedOn w:val="List2"/>
    <w:rsid w:val="002A231D"/>
    <w:pPr>
      <w:ind w:firstLine="0"/>
    </w:pPr>
  </w:style>
  <w:style w:type="paragraph" w:styleId="ListContinue3">
    <w:name w:val="List Continue 3"/>
    <w:basedOn w:val="List3"/>
    <w:rsid w:val="002A231D"/>
    <w:pPr>
      <w:ind w:left="1021" w:firstLine="0"/>
    </w:pPr>
  </w:style>
  <w:style w:type="paragraph" w:styleId="ListContinue4">
    <w:name w:val="List Continue 4"/>
    <w:basedOn w:val="List4"/>
    <w:rsid w:val="002A231D"/>
    <w:pPr>
      <w:ind w:firstLine="0"/>
    </w:pPr>
  </w:style>
  <w:style w:type="paragraph" w:styleId="ListContinue5">
    <w:name w:val="List Continue 5"/>
    <w:basedOn w:val="List5"/>
    <w:rsid w:val="002A231D"/>
    <w:pPr>
      <w:ind w:firstLine="0"/>
    </w:pPr>
  </w:style>
  <w:style w:type="paragraph" w:styleId="ListNumber3">
    <w:name w:val="List Number 3"/>
    <w:basedOn w:val="List3"/>
    <w:rsid w:val="002A231D"/>
    <w:pPr>
      <w:numPr>
        <w:numId w:val="4"/>
      </w:numPr>
    </w:pPr>
  </w:style>
  <w:style w:type="paragraph" w:styleId="ListNumber4">
    <w:name w:val="List Number 4"/>
    <w:basedOn w:val="List4"/>
    <w:rsid w:val="002A231D"/>
    <w:pPr>
      <w:numPr>
        <w:numId w:val="5"/>
      </w:numPr>
    </w:pPr>
  </w:style>
  <w:style w:type="paragraph" w:styleId="ListNumber5">
    <w:name w:val="List Number 5"/>
    <w:basedOn w:val="List5"/>
    <w:rsid w:val="002A231D"/>
    <w:pPr>
      <w:numPr>
        <w:numId w:val="6"/>
      </w:numPr>
    </w:pPr>
  </w:style>
  <w:style w:type="paragraph" w:styleId="BlockText">
    <w:name w:val="Block Text"/>
    <w:basedOn w:val="Normal"/>
    <w:rsid w:val="002A231D"/>
    <w:pPr>
      <w:spacing w:after="120"/>
      <w:ind w:left="1440" w:right="1440"/>
    </w:pPr>
  </w:style>
  <w:style w:type="character" w:customStyle="1" w:styleId="Subscript">
    <w:name w:val="Subscript"/>
    <w:basedOn w:val="DefaultParagraphFont"/>
    <w:rsid w:val="002A231D"/>
    <w:rPr>
      <w:sz w:val="16"/>
      <w:vertAlign w:val="subscript"/>
    </w:rPr>
  </w:style>
  <w:style w:type="character" w:customStyle="1" w:styleId="Superscript">
    <w:name w:val="Superscript"/>
    <w:basedOn w:val="DefaultParagraphFont"/>
    <w:rsid w:val="002A231D"/>
    <w:rPr>
      <w:sz w:val="16"/>
      <w:vertAlign w:val="superscript"/>
    </w:rPr>
  </w:style>
  <w:style w:type="character" w:customStyle="1" w:styleId="Symbols">
    <w:name w:val="Symbols"/>
    <w:basedOn w:val="DefaultParagraphFont"/>
    <w:rsid w:val="002A231D"/>
    <w:rPr>
      <w:rFonts w:ascii="Symbol" w:hAnsi="Symbol"/>
    </w:rPr>
  </w:style>
  <w:style w:type="character" w:customStyle="1" w:styleId="MenuOptions">
    <w:name w:val="Menu Options"/>
    <w:basedOn w:val="DefaultParagraphFont"/>
    <w:rsid w:val="002A231D"/>
    <w:rPr>
      <w:rFonts w:ascii="Arial Narrow" w:hAnsi="Arial Narrow"/>
      <w:smallCaps/>
    </w:rPr>
  </w:style>
  <w:style w:type="character" w:customStyle="1" w:styleId="Buttons">
    <w:name w:val="Buttons"/>
    <w:basedOn w:val="DefaultParagraphFont"/>
    <w:rsid w:val="002A231D"/>
    <w:rPr>
      <w:b/>
    </w:rPr>
  </w:style>
  <w:style w:type="character" w:customStyle="1" w:styleId="Underlined">
    <w:name w:val="Underlined"/>
    <w:basedOn w:val="DefaultParagraphFont"/>
    <w:rsid w:val="002A231D"/>
    <w:rPr>
      <w:u w:val="single"/>
    </w:rPr>
  </w:style>
  <w:style w:type="paragraph" w:customStyle="1" w:styleId="TableBodyTextRight">
    <w:name w:val="Table Body Text Right"/>
    <w:basedOn w:val="TableBodyText"/>
    <w:rsid w:val="002A231D"/>
    <w:pPr>
      <w:widowControl w:val="0"/>
      <w:autoSpaceDE w:val="0"/>
      <w:autoSpaceDN w:val="0"/>
      <w:adjustRightInd w:val="0"/>
      <w:jc w:val="right"/>
    </w:pPr>
    <w:rPr>
      <w:rFonts w:cs="Arial"/>
      <w:szCs w:val="18"/>
    </w:rPr>
  </w:style>
  <w:style w:type="paragraph" w:customStyle="1" w:styleId="CopyrightText">
    <w:name w:val="Copyright Text"/>
    <w:basedOn w:val="BodyText"/>
    <w:rsid w:val="002A231D"/>
    <w:rPr>
      <w:sz w:val="18"/>
    </w:rPr>
  </w:style>
  <w:style w:type="paragraph" w:customStyle="1" w:styleId="BodySmallRight">
    <w:name w:val="Body Small Right"/>
    <w:basedOn w:val="BodyTextRight"/>
    <w:rsid w:val="002A231D"/>
    <w:rPr>
      <w:sz w:val="18"/>
      <w:szCs w:val="18"/>
    </w:rPr>
  </w:style>
  <w:style w:type="paragraph" w:customStyle="1" w:styleId="MarginEdition">
    <w:name w:val="Margin Edition"/>
    <w:basedOn w:val="MarginNote"/>
    <w:rsid w:val="002A231D"/>
    <w:pPr>
      <w:spacing w:before="0" w:after="0"/>
    </w:pPr>
    <w:rPr>
      <w:rFonts w:ascii="Times New Roman" w:hAnsi="Times New Roman"/>
      <w:color w:val="999999"/>
    </w:rPr>
  </w:style>
  <w:style w:type="paragraph" w:customStyle="1" w:styleId="Spacer">
    <w:name w:val="Spacer"/>
    <w:basedOn w:val="Normal"/>
    <w:rsid w:val="002A231D"/>
    <w:rPr>
      <w:sz w:val="2"/>
      <w:szCs w:val="2"/>
    </w:rPr>
  </w:style>
  <w:style w:type="character" w:customStyle="1" w:styleId="Small">
    <w:name w:val="Small"/>
    <w:basedOn w:val="DefaultParagraphFont"/>
    <w:rsid w:val="002A231D"/>
    <w:rPr>
      <w:sz w:val="16"/>
    </w:rPr>
  </w:style>
  <w:style w:type="paragraph" w:customStyle="1" w:styleId="WideTable">
    <w:name w:val="Wide Table"/>
    <w:basedOn w:val="Normal"/>
    <w:rsid w:val="002A231D"/>
    <w:pPr>
      <w:ind w:left="-1418"/>
    </w:pPr>
    <w:rPr>
      <w:sz w:val="2"/>
      <w:szCs w:val="2"/>
    </w:rPr>
  </w:style>
  <w:style w:type="character" w:styleId="PageNumber">
    <w:name w:val="page number"/>
    <w:basedOn w:val="DefaultParagraphFont"/>
    <w:rsid w:val="002A231D"/>
  </w:style>
  <w:style w:type="paragraph" w:styleId="Quote">
    <w:name w:val="Quote"/>
    <w:basedOn w:val="Heading1"/>
    <w:link w:val="QuoteChar"/>
    <w:qFormat/>
    <w:rsid w:val="002A231D"/>
    <w:rPr>
      <w:b w:val="0"/>
      <w:sz w:val="72"/>
      <w:szCs w:val="72"/>
      <w:lang w:val="en-NZ"/>
    </w:rPr>
  </w:style>
  <w:style w:type="character" w:customStyle="1" w:styleId="QuoteChar">
    <w:name w:val="Quote Char"/>
    <w:basedOn w:val="DefaultParagraphFont"/>
    <w:link w:val="Quote"/>
    <w:rsid w:val="002A23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31D"/>
    <w:pPr>
      <w:pageBreakBefore/>
    </w:pPr>
  </w:style>
  <w:style w:type="paragraph" w:customStyle="1" w:styleId="Border">
    <w:name w:val="Border"/>
    <w:basedOn w:val="Normal"/>
    <w:qFormat/>
    <w:rsid w:val="002A23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31D"/>
    <w:rPr>
      <w:b/>
      <w:bCs/>
      <w:i/>
      <w:iCs/>
      <w:color w:val="auto"/>
    </w:rPr>
  </w:style>
  <w:style w:type="paragraph" w:styleId="IntenseQuote">
    <w:name w:val="Intense Quote"/>
    <w:basedOn w:val="Normal"/>
    <w:next w:val="Normal"/>
    <w:link w:val="IntenseQuoteChar"/>
    <w:uiPriority w:val="30"/>
    <w:qFormat/>
    <w:rsid w:val="002A23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3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231D"/>
    <w:rPr>
      <w:smallCaps/>
      <w:color w:val="auto"/>
      <w:u w:val="single"/>
    </w:rPr>
  </w:style>
  <w:style w:type="character" w:styleId="IntenseReference">
    <w:name w:val="Intense Reference"/>
    <w:basedOn w:val="DefaultParagraphFont"/>
    <w:uiPriority w:val="32"/>
    <w:qFormat/>
    <w:rsid w:val="002A231D"/>
    <w:rPr>
      <w:b/>
      <w:bCs/>
      <w:smallCaps/>
      <w:color w:val="auto"/>
      <w:spacing w:val="5"/>
      <w:u w:val="single"/>
    </w:rPr>
  </w:style>
  <w:style w:type="paragraph" w:customStyle="1" w:styleId="2ColumnHeading">
    <w:name w:val="2Column Heading"/>
    <w:basedOn w:val="BodyText"/>
    <w:qFormat/>
    <w:rsid w:val="002A231D"/>
    <w:pPr>
      <w:spacing w:after="60"/>
      <w:ind w:left="-2268"/>
    </w:pPr>
    <w:rPr>
      <w:b/>
    </w:rPr>
  </w:style>
  <w:style w:type="paragraph" w:customStyle="1" w:styleId="Heading1TOC">
    <w:name w:val="Heading1 TOC"/>
    <w:basedOn w:val="Normal"/>
    <w:qFormat/>
    <w:rsid w:val="002A231D"/>
    <w:pPr>
      <w:spacing w:before="240" w:after="120"/>
    </w:pPr>
    <w:rPr>
      <w:rFonts w:ascii="Times New Roman" w:hAnsi="Times New Roman"/>
      <w:b/>
      <w:sz w:val="32"/>
    </w:rPr>
  </w:style>
  <w:style w:type="paragraph" w:customStyle="1" w:styleId="Heading2TOC">
    <w:name w:val="Heading2 TOC"/>
    <w:basedOn w:val="Normal"/>
    <w:qFormat/>
    <w:rsid w:val="002A231D"/>
    <w:pPr>
      <w:spacing w:before="240" w:after="60"/>
    </w:pPr>
    <w:rPr>
      <w:rFonts w:ascii="Times New Roman" w:hAnsi="Times New Roman"/>
      <w:b/>
      <w:sz w:val="28"/>
    </w:rPr>
  </w:style>
  <w:style w:type="character" w:customStyle="1" w:styleId="Underline">
    <w:name w:val="Underline"/>
    <w:basedOn w:val="DefaultParagraphFont"/>
    <w:qFormat/>
    <w:rsid w:val="002A231D"/>
    <w:rPr>
      <w:u w:val="single"/>
    </w:rPr>
  </w:style>
  <w:style w:type="character" w:customStyle="1" w:styleId="BoldandItalics">
    <w:name w:val="Bold and Italics"/>
    <w:qFormat/>
    <w:rsid w:val="002A231D"/>
    <w:rPr>
      <w:b/>
      <w:i/>
      <w:u w:val="none"/>
    </w:rPr>
  </w:style>
  <w:style w:type="paragraph" w:styleId="BalloonText">
    <w:name w:val="Balloon Text"/>
    <w:basedOn w:val="Normal"/>
    <w:link w:val="BalloonTextChar"/>
    <w:rsid w:val="002A231D"/>
    <w:rPr>
      <w:rFonts w:ascii="Tahoma" w:hAnsi="Tahoma" w:cs="Tahoma"/>
      <w:sz w:val="16"/>
      <w:szCs w:val="16"/>
    </w:rPr>
  </w:style>
  <w:style w:type="character" w:customStyle="1" w:styleId="BalloonTextChar">
    <w:name w:val="Balloon Text Char"/>
    <w:basedOn w:val="DefaultParagraphFont"/>
    <w:link w:val="BalloonText"/>
    <w:rsid w:val="002A23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23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23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231D"/>
    <w:rPr>
      <w:b/>
      <w:color w:val="660033"/>
      <w:spacing w:val="0"/>
    </w:rPr>
  </w:style>
  <w:style w:type="paragraph" w:customStyle="1" w:styleId="Nameditemlist">
    <w:name w:val="Named item list"/>
    <w:basedOn w:val="BodyText"/>
    <w:qFormat/>
    <w:rsid w:val="002A231D"/>
    <w:pPr>
      <w:tabs>
        <w:tab w:val="left" w:pos="2835"/>
      </w:tabs>
      <w:ind w:left="2835" w:hanging="2835"/>
    </w:pPr>
  </w:style>
  <w:style w:type="paragraph" w:customStyle="1" w:styleId="BodyTextnopadding">
    <w:name w:val="Body Text no padding"/>
    <w:basedOn w:val="BodyText"/>
    <w:qFormat/>
    <w:rsid w:val="002A231D"/>
    <w:pPr>
      <w:spacing w:before="0" w:after="0"/>
    </w:pPr>
  </w:style>
  <w:style w:type="paragraph" w:customStyle="1" w:styleId="BodyTextBold">
    <w:name w:val="Body Text Bold"/>
    <w:basedOn w:val="BodyText"/>
    <w:qFormat/>
    <w:rsid w:val="002A231D"/>
    <w:rPr>
      <w:b/>
    </w:rPr>
  </w:style>
  <w:style w:type="character" w:styleId="Hyperlink">
    <w:name w:val="Hyperlink"/>
    <w:basedOn w:val="DefaultParagraphFont"/>
    <w:uiPriority w:val="99"/>
    <w:unhideWhenUsed/>
    <w:rsid w:val="004754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4293</Characters>
  <Application>Microsoft Office Word</Application>
  <DocSecurity>0</DocSecurity>
  <Lines>195</Lines>
  <Paragraphs>92</Paragraphs>
  <ScaleCrop>false</ScaleCrop>
  <Company>Author-it Software Corporation Ltd.</Company>
  <LinksUpToDate>false</LinksUpToDate>
  <CharactersWithSpaces>4884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MSL974029 Operate an automated mineral analysis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2022-12-20T00:00:00Z</dcterms:created>
  <dcterms:modified xsi:type="dcterms:W3CDTF">2022-12-20T00:00:00Z</dcterms:modified>
</cp:coreProperties>
</file>