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EFD" w:rsidP="00A07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MSL974029 Operate an automated mineral analysis system</w:t>
      </w:r>
      <w:r>
        <w:fldChar w:fldCharType="end"/>
      </w:r>
    </w:p>
    <w:p w:rsidR="00A07EFD" w:rsidP="00A07EFD">
      <w:pPr>
        <w:pStyle w:val="Version"/>
        <w:sectPr w:rsidSect="007B6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1C0" w:rsidP="007B61C0">
      <w:pPr>
        <w:pStyle w:val="SuperHeading"/>
      </w:pPr>
      <w:r w:rsidRPr="007B61C0">
        <w:t>Assessment Requirements for MSL974029 Operate an automated mineral analysis system</w:t>
      </w:r>
    </w:p>
    <w:p w:rsidR="00000000" w:rsidRPr="007B61C0" w:rsidP="007B61C0">
      <w:pPr>
        <w:pStyle w:val="Heading1"/>
      </w:pPr>
      <w:bookmarkStart w:id="1" w:name="O_986667"/>
      <w:bookmarkEnd w:id="1"/>
      <w:r w:rsidRPr="007B61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B6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61C0" w:rsidP="007B61C0">
            <w:pPr>
              <w:pStyle w:val="BodyText"/>
            </w:pPr>
            <w:r w:rsidRPr="007B61C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1C0">
            <w:pPr>
              <w:pStyle w:val="BodyText"/>
              <w:rPr>
                <w:lang w:val="en-NZ"/>
              </w:rPr>
            </w:pPr>
            <w:r w:rsidRPr="007B61C0">
              <w:rPr>
                <w:rStyle w:val="SpecialBold"/>
              </w:rPr>
              <w:t>Comments</w:t>
            </w:r>
          </w:p>
        </w:tc>
      </w:tr>
      <w:tr w:rsidTr="007B6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1C0">
            <w:pPr>
              <w:pStyle w:val="BodyText"/>
              <w:rPr>
                <w:lang w:val="en-NZ"/>
              </w:rPr>
            </w:pPr>
            <w:r w:rsidRPr="007B61C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1C0" w:rsidP="007B61C0">
            <w:pPr>
              <w:pStyle w:val="BodyText"/>
            </w:pPr>
            <w:r w:rsidRPr="007B61C0">
              <w:t xml:space="preserve">New unit released in </w:t>
            </w:r>
            <w:r w:rsidRPr="007B61C0">
              <w:rPr>
                <w:rStyle w:val="Emphasis"/>
              </w:rPr>
              <w:t>MSL Laboratory Operations Training Package Release 2.0.</w:t>
            </w:r>
          </w:p>
          <w:p w:rsidR="00000000" w:rsidRPr="007B61C0" w:rsidP="007B61C0">
            <w:pPr>
              <w:pStyle w:val="BodyText"/>
            </w:pPr>
            <w:r w:rsidRPr="007B61C0">
              <w:t>Supersedes and equivalent to MSL974015 Operate an automated mineral analysis system. Foundation skill information added. Range of conditions removed. Assessment requirements amended. Equivalent outcome.</w:t>
            </w:r>
          </w:p>
        </w:tc>
      </w:tr>
    </w:tbl>
    <w:p w:rsidR="00000000" w:rsidRPr="007B61C0" w:rsidP="007B61C0">
      <w:pPr>
        <w:pStyle w:val="BodyText"/>
      </w:pPr>
    </w:p>
    <w:p w:rsidR="00000000" w:rsidRPr="007B61C0" w:rsidP="007B61C0">
      <w:pPr>
        <w:pStyle w:val="AllowPageBreak"/>
      </w:pPr>
    </w:p>
    <w:p w:rsidR="00000000" w:rsidRPr="007B61C0" w:rsidP="007B61C0">
      <w:pPr>
        <w:pStyle w:val="Heading1"/>
      </w:pPr>
      <w:bookmarkStart w:id="2" w:name="O_986670"/>
      <w:bookmarkEnd w:id="2"/>
      <w:r w:rsidRPr="007B61C0">
        <w:t>Performance Evidence</w:t>
      </w:r>
    </w:p>
    <w:p w:rsidR="00000000" w:rsidRPr="007B61C0" w:rsidP="00A07EFD">
      <w:pPr>
        <w:pStyle w:val="BodyText"/>
      </w:pPr>
      <w:r w:rsidRPr="007B61C0">
        <w:t>There must be</w:t>
      </w:r>
      <w:r w:rsidRPr="007B61C0">
        <w:t xml:space="preserve"> evidence the candidate has completed the tasks outlined in the elements and performance criteria of this unit, and:</w:t>
      </w:r>
    </w:p>
    <w:p w:rsidR="00000000" w:rsidRPr="007B61C0" w:rsidP="007B61C0">
      <w:pPr>
        <w:pStyle w:val="ListBullet"/>
      </w:pPr>
      <w:r w:rsidRPr="007B61C0">
        <w:t xml:space="preserve">operated an automated mineral analysis system safely, reliably and efficiently for at least 3 different sets of operating conditions or 3 </w:t>
      </w:r>
      <w:r w:rsidRPr="007B61C0">
        <w:t>different types of samples.</w:t>
      </w:r>
    </w:p>
    <w:p w:rsidR="00000000" w:rsidRPr="007B61C0" w:rsidP="007B61C0">
      <w:pPr>
        <w:pStyle w:val="AllowPageBreak"/>
      </w:pPr>
    </w:p>
    <w:p w:rsidR="00000000" w:rsidRPr="007B61C0" w:rsidP="007B61C0">
      <w:pPr>
        <w:pStyle w:val="Heading1"/>
      </w:pPr>
      <w:bookmarkStart w:id="3" w:name="O_986669"/>
      <w:bookmarkEnd w:id="3"/>
      <w:r w:rsidRPr="007B61C0">
        <w:t>Knowledge Evidence</w:t>
      </w:r>
    </w:p>
    <w:p w:rsidR="00000000" w:rsidRPr="007B61C0" w:rsidP="00A07EFD">
      <w:pPr>
        <w:pStyle w:val="BodyText"/>
      </w:pPr>
      <w:r w:rsidRPr="007B61C0">
        <w:t>There must be evidence the candidate has knowledge of:</w:t>
      </w:r>
    </w:p>
    <w:p w:rsidR="00000000" w:rsidRPr="007B61C0" w:rsidP="007B61C0">
      <w:pPr>
        <w:pStyle w:val="ListBullet"/>
      </w:pPr>
      <w:r w:rsidRPr="007B61C0">
        <w:t>importance of good customer relations, achieving production targets and minimising costs and rework</w:t>
      </w:r>
    </w:p>
    <w:p w:rsidR="00000000" w:rsidRPr="007B61C0" w:rsidP="007B61C0">
      <w:pPr>
        <w:pStyle w:val="ListBullet"/>
      </w:pPr>
      <w:r w:rsidRPr="007B61C0">
        <w:t>purpose of analytical tests conducted in job role</w:t>
      </w:r>
    </w:p>
    <w:p w:rsidR="00000000" w:rsidRPr="007B61C0" w:rsidP="007B61C0">
      <w:pPr>
        <w:pStyle w:val="ListBullet"/>
      </w:pPr>
      <w:r w:rsidRPr="007B61C0">
        <w:t>function and operation of automated system elements and flow chart for automated analysis process</w:t>
      </w:r>
    </w:p>
    <w:p w:rsidR="00000000" w:rsidRPr="007B61C0" w:rsidP="007B61C0">
      <w:pPr>
        <w:pStyle w:val="ListBullet"/>
      </w:pPr>
      <w:r w:rsidRPr="007B61C0">
        <w:t>common mineral samples:</w:t>
      </w:r>
    </w:p>
    <w:p w:rsidR="00000000" w:rsidRPr="007B61C0" w:rsidP="007B61C0">
      <w:pPr>
        <w:pStyle w:val="ListBullet2"/>
      </w:pPr>
      <w:r w:rsidRPr="007B61C0">
        <w:t>pulverised solids, such as rocks, minerals, soils, sands and stream sediments</w:t>
      </w:r>
    </w:p>
    <w:p w:rsidR="00000000" w:rsidRPr="007B61C0" w:rsidP="007B61C0">
      <w:pPr>
        <w:pStyle w:val="ListBullet2"/>
      </w:pPr>
      <w:r w:rsidRPr="007B61C0">
        <w:t>pulve</w:t>
      </w:r>
      <w:r w:rsidRPr="007B61C0">
        <w:t>rised core and other drill samples</w:t>
      </w:r>
    </w:p>
    <w:p w:rsidR="00000000" w:rsidRPr="007B61C0" w:rsidP="007B61C0">
      <w:pPr>
        <w:pStyle w:val="ListBullet"/>
      </w:pPr>
      <w:r w:rsidRPr="007B61C0">
        <w:t>automated analytical methods:</w:t>
      </w:r>
    </w:p>
    <w:p w:rsidR="00000000" w:rsidRPr="007B61C0" w:rsidP="007B61C0">
      <w:pPr>
        <w:pStyle w:val="ListBullet2"/>
      </w:pPr>
      <w:r w:rsidRPr="007B61C0">
        <w:t>thermal gravimetric analysis (TGA)</w:t>
      </w:r>
    </w:p>
    <w:p w:rsidR="00000000" w:rsidRPr="007B61C0" w:rsidP="007B61C0">
      <w:pPr>
        <w:pStyle w:val="ListBullet2"/>
      </w:pPr>
      <w:r w:rsidRPr="007B61C0">
        <w:t>x-ray fluorescence (XRF)</w:t>
      </w:r>
    </w:p>
    <w:p w:rsidR="00000000" w:rsidRPr="007B61C0" w:rsidP="007B61C0">
      <w:pPr>
        <w:pStyle w:val="ListBullet"/>
      </w:pPr>
      <w:r w:rsidRPr="007B61C0">
        <w:t>workplace procedures for:</w:t>
      </w:r>
    </w:p>
    <w:p w:rsidR="00000000" w:rsidRPr="007B61C0" w:rsidP="007B61C0">
      <w:pPr>
        <w:pStyle w:val="ListBullet2"/>
      </w:pPr>
      <w:r w:rsidRPr="007B61C0">
        <w:t>specific samples, batches and clients (such as labelling, preparation, analysis, storage, transport a</w:t>
      </w:r>
      <w:r w:rsidRPr="007B61C0">
        <w:t>nd disposal)</w:t>
      </w:r>
    </w:p>
    <w:p w:rsidR="00000000" w:rsidRPr="007B61C0" w:rsidP="007B61C0">
      <w:pPr>
        <w:pStyle w:val="ListBullet2"/>
      </w:pPr>
      <w:r w:rsidRPr="007B61C0">
        <w:t>computer operation, including use of specific control screens, menus and control commands</w:t>
      </w:r>
    </w:p>
    <w:p w:rsidR="00000000" w:rsidRPr="007B61C0" w:rsidP="007B61C0">
      <w:pPr>
        <w:pStyle w:val="ListBullet2"/>
      </w:pPr>
      <w:r w:rsidRPr="007B61C0">
        <w:t>common faults, routine system error codes and specified corrective actions for each</w:t>
      </w:r>
    </w:p>
    <w:p w:rsidR="00000000" w:rsidRPr="007B61C0" w:rsidP="007B61C0">
      <w:pPr>
        <w:pStyle w:val="ListBullet2"/>
      </w:pPr>
      <w:r w:rsidRPr="007B61C0">
        <w:t>cleaning/maintaining equipment and instruments used in job role</w:t>
      </w:r>
    </w:p>
    <w:p w:rsidR="00000000" w:rsidRPr="007B61C0" w:rsidP="007B61C0">
      <w:pPr>
        <w:pStyle w:val="ListBullet2"/>
      </w:pPr>
      <w:r w:rsidRPr="007B61C0">
        <w:t>preventing contamination of samples and equipment</w:t>
      </w:r>
    </w:p>
    <w:p w:rsidR="00000000" w:rsidRPr="007B61C0" w:rsidP="007B61C0">
      <w:pPr>
        <w:pStyle w:val="ListBullet2"/>
      </w:pPr>
      <w:r w:rsidRPr="007B61C0">
        <w:t>ensuring traceability of samples</w:t>
      </w:r>
    </w:p>
    <w:p w:rsidR="00000000" w:rsidRPr="007B61C0" w:rsidP="007B61C0">
      <w:pPr>
        <w:pStyle w:val="ListBullet"/>
      </w:pPr>
      <w:r w:rsidRPr="007B61C0">
        <w:t>automated system elements:</w:t>
      </w:r>
    </w:p>
    <w:p w:rsidR="00000000" w:rsidRPr="007B61C0" w:rsidP="007B61C0">
      <w:pPr>
        <w:pStyle w:val="ListBullet2"/>
      </w:pPr>
      <w:r w:rsidRPr="007B61C0">
        <w:t>sample in-feed station</w:t>
      </w:r>
    </w:p>
    <w:p w:rsidR="00000000" w:rsidRPr="007B61C0" w:rsidP="007B61C0">
      <w:pPr>
        <w:pStyle w:val="ListBullet2"/>
      </w:pPr>
      <w:r w:rsidRPr="007B61C0">
        <w:t>weigh stations</w:t>
      </w:r>
    </w:p>
    <w:p w:rsidR="00000000" w:rsidRPr="007B61C0" w:rsidP="007B61C0">
      <w:pPr>
        <w:pStyle w:val="ListBullet2"/>
      </w:pPr>
      <w:r w:rsidRPr="007B61C0">
        <w:t>mould table</w:t>
      </w:r>
    </w:p>
    <w:p w:rsidR="00000000" w:rsidRPr="007B61C0" w:rsidP="007B61C0">
      <w:pPr>
        <w:pStyle w:val="ListBullet2"/>
      </w:pPr>
      <w:r w:rsidRPr="007B61C0">
        <w:t>furnaces</w:t>
      </w:r>
    </w:p>
    <w:p w:rsidR="00000000" w:rsidRPr="007B61C0" w:rsidP="007B61C0">
      <w:pPr>
        <w:pStyle w:val="ListBullet2"/>
      </w:pPr>
      <w:r w:rsidRPr="007B61C0">
        <w:t>robotic arms</w:t>
      </w:r>
    </w:p>
    <w:p w:rsidR="00000000" w:rsidRPr="007B61C0" w:rsidP="007B61C0">
      <w:pPr>
        <w:pStyle w:val="ListBullet2"/>
      </w:pPr>
      <w:r w:rsidRPr="007B61C0">
        <w:t>conveyor belts</w:t>
      </w:r>
    </w:p>
    <w:p w:rsidR="00000000" w:rsidRPr="007B61C0" w:rsidP="007B61C0">
      <w:pPr>
        <w:pStyle w:val="ListBullet2"/>
      </w:pPr>
      <w:r w:rsidRPr="007B61C0">
        <w:t>acid/ultrasound baths for cleaning crucibles</w:t>
      </w:r>
    </w:p>
    <w:p w:rsidR="00000000" w:rsidRPr="007B61C0" w:rsidP="007B61C0">
      <w:pPr>
        <w:pStyle w:val="ListBullet2"/>
      </w:pPr>
      <w:r w:rsidRPr="007B61C0">
        <w:t>compressed a</w:t>
      </w:r>
      <w:r w:rsidRPr="007B61C0">
        <w:t>ir system</w:t>
      </w:r>
    </w:p>
    <w:p w:rsidR="00000000" w:rsidRPr="007B61C0" w:rsidP="007B61C0">
      <w:pPr>
        <w:pStyle w:val="ListBullet"/>
      </w:pPr>
      <w:r w:rsidRPr="007B61C0">
        <w:t>routine system checks</w:t>
      </w:r>
    </w:p>
    <w:p w:rsidR="00000000" w:rsidRPr="007B61C0" w:rsidP="007B61C0">
      <w:pPr>
        <w:pStyle w:val="ListBullet"/>
      </w:pPr>
      <w:r w:rsidRPr="007B61C0">
        <w:t>visual checks:</w:t>
      </w:r>
    </w:p>
    <w:p w:rsidR="00000000" w:rsidRPr="007B61C0" w:rsidP="007B61C0">
      <w:pPr>
        <w:pStyle w:val="ListBullet2"/>
      </w:pPr>
      <w:r w:rsidRPr="007B61C0">
        <w:t>presence of surface dust on system elements, particularly sensors</w:t>
      </w:r>
    </w:p>
    <w:p w:rsidR="00000000" w:rsidRPr="007B61C0" w:rsidP="007B61C0">
      <w:pPr>
        <w:pStyle w:val="ListBullet2"/>
      </w:pPr>
      <w:r w:rsidRPr="007B61C0">
        <w:t>sample contamination during sample extraction from vials</w:t>
      </w:r>
    </w:p>
    <w:p w:rsidR="00000000" w:rsidRPr="007B61C0" w:rsidP="007B61C0">
      <w:pPr>
        <w:pStyle w:val="ListBullet2"/>
      </w:pPr>
      <w:r w:rsidRPr="007B61C0">
        <w:t>cleanliness of crucibles before re-use</w:t>
      </w:r>
    </w:p>
    <w:p w:rsidR="00000000" w:rsidRPr="007B61C0" w:rsidP="007B61C0">
      <w:pPr>
        <w:pStyle w:val="ListBullet"/>
      </w:pPr>
      <w:r w:rsidRPr="007B61C0">
        <w:t>typical routine system faults and corrective actions</w:t>
      </w:r>
    </w:p>
    <w:p w:rsidR="00000000" w:rsidRPr="007B61C0" w:rsidP="007B61C0">
      <w:pPr>
        <w:pStyle w:val="ListBullet"/>
      </w:pPr>
      <w:r w:rsidRPr="007B61C0">
        <w:t>workplace and/or legal traceability requirements</w:t>
      </w:r>
    </w:p>
    <w:p w:rsidR="00000000" w:rsidRPr="007B61C0" w:rsidP="007B61C0">
      <w:pPr>
        <w:pStyle w:val="ListBullet"/>
      </w:pPr>
      <w:r w:rsidRPr="007B61C0">
        <w:t>awareness of environmental sustainability issues as they relate to the work task</w:t>
      </w:r>
    </w:p>
    <w:p w:rsidR="00000000" w:rsidRPr="007B61C0" w:rsidP="007B61C0">
      <w:pPr>
        <w:pStyle w:val="ListBullet"/>
      </w:pPr>
      <w:r w:rsidRPr="007B61C0">
        <w:t xml:space="preserve">legal, ethical and work health and safety (WHS) requirements specific to </w:t>
      </w:r>
      <w:r w:rsidRPr="007B61C0">
        <w:t xml:space="preserve">the work task.  </w:t>
      </w:r>
    </w:p>
    <w:p w:rsidR="00000000" w:rsidRPr="007B61C0" w:rsidP="007B61C0">
      <w:pPr>
        <w:pStyle w:val="AllowPageBreak"/>
      </w:pPr>
    </w:p>
    <w:p w:rsidR="00000000" w:rsidRPr="007B61C0" w:rsidP="007B61C0">
      <w:pPr>
        <w:pStyle w:val="Heading1"/>
      </w:pPr>
      <w:bookmarkStart w:id="4" w:name="O_986668"/>
      <w:bookmarkEnd w:id="4"/>
      <w:r w:rsidRPr="007B61C0">
        <w:t>Assessment Conditions</w:t>
      </w:r>
    </w:p>
    <w:p w:rsidR="00000000" w:rsidRPr="007B61C0" w:rsidP="00A07EFD">
      <w:pPr>
        <w:pStyle w:val="BodyText"/>
      </w:pPr>
      <w:r w:rsidRPr="007B61C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B61C0" w:rsidP="007B61C0">
      <w:pPr>
        <w:pStyle w:val="ListBullet"/>
      </w:pPr>
      <w:r w:rsidRPr="007B61C0">
        <w:t>use of sui</w:t>
      </w:r>
      <w:r w:rsidRPr="007B61C0">
        <w:t xml:space="preserve">table facilities, equipment and resources, including: </w:t>
      </w:r>
    </w:p>
    <w:p w:rsidR="00000000" w:rsidRPr="007B61C0" w:rsidP="007B61C0">
      <w:pPr>
        <w:pStyle w:val="ListBullet2"/>
      </w:pPr>
      <w:r w:rsidRPr="007B61C0">
        <w:t>an automated mineral analysis system, operating procedures, reagents, sample containers and labels</w:t>
      </w:r>
    </w:p>
    <w:p w:rsidR="00000000" w:rsidRPr="007B61C0" w:rsidP="007B61C0">
      <w:pPr>
        <w:pStyle w:val="ListBullet2"/>
      </w:pPr>
      <w:r w:rsidRPr="007B61C0">
        <w:t>mineral ore samples, such as iron ore</w:t>
      </w:r>
    </w:p>
    <w:p w:rsidR="00000000" w:rsidRPr="007B61C0" w:rsidP="007B61C0">
      <w:pPr>
        <w:pStyle w:val="ListBullet2"/>
      </w:pPr>
      <w:r w:rsidRPr="007B61C0">
        <w:t>client requests/documentation, such as client profile, sample identification and sample receipts, required analyses, storage and/or disposal, and service charges</w:t>
      </w:r>
    </w:p>
    <w:p w:rsidR="00000000" w:rsidRPr="007B61C0" w:rsidP="007B61C0">
      <w:pPr>
        <w:pStyle w:val="ListBullet2"/>
      </w:pPr>
      <w:r w:rsidRPr="007B61C0">
        <w:t>safe work procedures, safety equipment and PPE.</w:t>
      </w:r>
    </w:p>
    <w:p w:rsidR="00000000" w:rsidRPr="007B61C0" w:rsidP="00A07EFD">
      <w:pPr>
        <w:pStyle w:val="BodyText"/>
      </w:pPr>
      <w:r w:rsidRPr="007B61C0">
        <w:br/>
        <w:t>Assessors must satisfy the NVR/AQTF mandatory</w:t>
      </w:r>
      <w:r w:rsidRPr="007B61C0">
        <w:t xml:space="preserve"> competency requirements for assessors.</w:t>
      </w:r>
    </w:p>
    <w:p w:rsidR="00000000" w:rsidRPr="007B61C0" w:rsidP="007B61C0">
      <w:pPr>
        <w:pStyle w:val="AllowPageBreak"/>
      </w:pPr>
    </w:p>
    <w:p w:rsidR="00000000" w:rsidRPr="007B61C0" w:rsidP="007B61C0">
      <w:pPr>
        <w:pStyle w:val="Heading1"/>
      </w:pPr>
      <w:bookmarkStart w:id="5" w:name="O_986666"/>
      <w:bookmarkEnd w:id="5"/>
      <w:r w:rsidRPr="007B61C0">
        <w:t>Links</w:t>
      </w:r>
    </w:p>
    <w:p w:rsidR="00000000" w:rsidRPr="007B61C0" w:rsidP="00A07EFD">
      <w:pPr>
        <w:pStyle w:val="BodyText"/>
      </w:pPr>
      <w:r w:rsidRPr="007B61C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85FC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B61C0" w:rsidP="007B61C0"/>
    <w:sectPr w:rsidSect="007B61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C0" w:rsidRPr="00A07EFD" w:rsidP="00A07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FD" w:rsidP="007B6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EFD" w:rsidP="007B6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7EFD" w:rsidP="007B6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1C0" w:rsidRPr="00A07EFD" w:rsidP="00A07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FD" w:rsidRPr="002D2AF8" w:rsidP="007B6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MSL974029 Operate an automated mineral analysis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07EFD" w:rsidP="007B6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6688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A8C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841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1C0"/>
  </w:style>
  <w:style w:type="character" w:customStyle="1" w:styleId="Heading1Char">
    <w:name w:val="Heading 1 Char"/>
    <w:basedOn w:val="DefaultParagraphFont"/>
    <w:link w:val="Heading1"/>
    <w:rsid w:val="007B6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1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1C0"/>
    <w:rPr>
      <w:b/>
      <w:spacing w:val="0"/>
    </w:rPr>
  </w:style>
  <w:style w:type="paragraph" w:styleId="ListBullet2">
    <w:name w:val="List Bullet 2"/>
    <w:basedOn w:val="List2"/>
    <w:rsid w:val="007B61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61C0"/>
    <w:rPr>
      <w:i/>
    </w:rPr>
  </w:style>
  <w:style w:type="paragraph" w:customStyle="1" w:styleId="SuperHeading">
    <w:name w:val="SuperHeading"/>
    <w:basedOn w:val="Normal"/>
    <w:rsid w:val="007B6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1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1C0"/>
  </w:style>
  <w:style w:type="paragraph" w:styleId="TableofFigures">
    <w:name w:val="table of figures"/>
    <w:basedOn w:val="Normal"/>
    <w:next w:val="Normal"/>
    <w:semiHidden/>
    <w:rsid w:val="007B6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1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61C0"/>
    <w:rPr>
      <w:rFonts w:ascii="Wingdings" w:hAnsi="Wingdings"/>
    </w:rPr>
  </w:style>
  <w:style w:type="paragraph" w:customStyle="1" w:styleId="TableHeading">
    <w:name w:val="Table Heading"/>
    <w:basedOn w:val="HeadingBase"/>
    <w:rsid w:val="007B6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1C0"/>
    <w:rPr>
      <w:color w:val="0033CC"/>
      <w:u w:val="none"/>
    </w:rPr>
  </w:style>
  <w:style w:type="paragraph" w:customStyle="1" w:styleId="BodyTextRight">
    <w:name w:val="Body Text Right"/>
    <w:basedOn w:val="BodyText"/>
    <w:rsid w:val="007B6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1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1C0"/>
    <w:rPr>
      <w:sz w:val="32"/>
    </w:rPr>
  </w:style>
  <w:style w:type="paragraph" w:customStyle="1" w:styleId="HeadingProcedure">
    <w:name w:val="Heading Procedure"/>
    <w:basedOn w:val="HeadingBase"/>
    <w:next w:val="Normal"/>
    <w:rsid w:val="007B6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1C0"/>
    <w:pPr>
      <w:spacing w:before="60" w:after="60"/>
    </w:pPr>
  </w:style>
  <w:style w:type="paragraph" w:styleId="ListContinue">
    <w:name w:val="List Continue"/>
    <w:basedOn w:val="List"/>
    <w:rsid w:val="007B61C0"/>
    <w:pPr>
      <w:ind w:firstLine="0"/>
    </w:pPr>
  </w:style>
  <w:style w:type="paragraph" w:customStyle="1" w:styleId="ListNote">
    <w:name w:val="List Note"/>
    <w:basedOn w:val="List"/>
    <w:rsid w:val="007B6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1C0"/>
    <w:rPr>
      <w:rFonts w:ascii="Courier New" w:hAnsi="Courier New"/>
    </w:rPr>
  </w:style>
  <w:style w:type="paragraph" w:customStyle="1" w:styleId="NoteBullet">
    <w:name w:val="Note Bullet"/>
    <w:basedOn w:val="Note"/>
    <w:rsid w:val="007B6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1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1C0"/>
    <w:rPr>
      <w:b/>
      <w:smallCaps/>
    </w:rPr>
  </w:style>
  <w:style w:type="paragraph" w:customStyle="1" w:styleId="TableListNumber">
    <w:name w:val="Table List Number"/>
    <w:basedOn w:val="ListNumber"/>
    <w:rsid w:val="007B6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1C0"/>
    <w:pPr>
      <w:numPr>
        <w:numId w:val="9"/>
      </w:numPr>
    </w:pPr>
  </w:style>
  <w:style w:type="paragraph" w:customStyle="1" w:styleId="ListAlpha2">
    <w:name w:val="List Alpha 2"/>
    <w:basedOn w:val="List2"/>
    <w:rsid w:val="007B61C0"/>
    <w:pPr>
      <w:numPr>
        <w:numId w:val="8"/>
      </w:numPr>
    </w:pPr>
  </w:style>
  <w:style w:type="paragraph" w:styleId="List2">
    <w:name w:val="List 2"/>
    <w:basedOn w:val="BodyText"/>
    <w:rsid w:val="007B6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1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1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61C0"/>
    <w:pPr>
      <w:numPr>
        <w:numId w:val="4"/>
      </w:numPr>
    </w:pPr>
  </w:style>
  <w:style w:type="paragraph" w:styleId="ListContinue2">
    <w:name w:val="List Continue 2"/>
    <w:basedOn w:val="List2"/>
    <w:rsid w:val="007B61C0"/>
    <w:pPr>
      <w:ind w:firstLine="0"/>
    </w:pPr>
  </w:style>
  <w:style w:type="paragraph" w:styleId="ListContinue3">
    <w:name w:val="List Continue 3"/>
    <w:basedOn w:val="List3"/>
    <w:rsid w:val="007B61C0"/>
    <w:pPr>
      <w:ind w:left="1021" w:firstLine="0"/>
    </w:pPr>
  </w:style>
  <w:style w:type="paragraph" w:styleId="ListContinue4">
    <w:name w:val="List Continue 4"/>
    <w:basedOn w:val="List4"/>
    <w:rsid w:val="007B61C0"/>
    <w:pPr>
      <w:ind w:firstLine="0"/>
    </w:pPr>
  </w:style>
  <w:style w:type="paragraph" w:styleId="ListContinue5">
    <w:name w:val="List Continue 5"/>
    <w:basedOn w:val="List5"/>
    <w:rsid w:val="007B61C0"/>
    <w:pPr>
      <w:ind w:firstLine="0"/>
    </w:pPr>
  </w:style>
  <w:style w:type="paragraph" w:styleId="ListNumber3">
    <w:name w:val="List Number 3"/>
    <w:basedOn w:val="List3"/>
    <w:rsid w:val="007B61C0"/>
    <w:pPr>
      <w:numPr>
        <w:numId w:val="5"/>
      </w:numPr>
    </w:pPr>
  </w:style>
  <w:style w:type="paragraph" w:styleId="ListNumber4">
    <w:name w:val="List Number 4"/>
    <w:basedOn w:val="List4"/>
    <w:rsid w:val="007B61C0"/>
    <w:pPr>
      <w:numPr>
        <w:numId w:val="6"/>
      </w:numPr>
    </w:pPr>
  </w:style>
  <w:style w:type="paragraph" w:styleId="ListNumber5">
    <w:name w:val="List Number 5"/>
    <w:basedOn w:val="List5"/>
    <w:rsid w:val="007B61C0"/>
    <w:pPr>
      <w:numPr>
        <w:numId w:val="7"/>
      </w:numPr>
    </w:pPr>
  </w:style>
  <w:style w:type="paragraph" w:styleId="BlockText">
    <w:name w:val="Block Text"/>
    <w:basedOn w:val="Normal"/>
    <w:rsid w:val="007B6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1C0"/>
    <w:rPr>
      <w:sz w:val="16"/>
      <w:vertAlign w:val="superscript"/>
    </w:rPr>
  </w:style>
  <w:style w:type="character" w:customStyle="1" w:styleId="Symbols">
    <w:name w:val="Symbols"/>
    <w:basedOn w:val="DefaultParagraphFont"/>
    <w:rsid w:val="007B61C0"/>
    <w:rPr>
      <w:rFonts w:ascii="Symbol" w:hAnsi="Symbol"/>
    </w:rPr>
  </w:style>
  <w:style w:type="character" w:customStyle="1" w:styleId="MenuOptions">
    <w:name w:val="Menu Options"/>
    <w:basedOn w:val="DefaultParagraphFont"/>
    <w:rsid w:val="007B6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1C0"/>
    <w:rPr>
      <w:b/>
    </w:rPr>
  </w:style>
  <w:style w:type="character" w:customStyle="1" w:styleId="Underlined">
    <w:name w:val="Underlined"/>
    <w:basedOn w:val="DefaultParagraphFont"/>
    <w:rsid w:val="007B61C0"/>
    <w:rPr>
      <w:u w:val="single"/>
    </w:rPr>
  </w:style>
  <w:style w:type="paragraph" w:customStyle="1" w:styleId="TableBodyTextRight">
    <w:name w:val="Table Body Text Right"/>
    <w:basedOn w:val="TableBodyText"/>
    <w:rsid w:val="007B6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1C0"/>
    <w:rPr>
      <w:sz w:val="18"/>
    </w:rPr>
  </w:style>
  <w:style w:type="paragraph" w:customStyle="1" w:styleId="BodySmallRight">
    <w:name w:val="Body Small Right"/>
    <w:basedOn w:val="BodyTextRight"/>
    <w:rsid w:val="007B61C0"/>
    <w:rPr>
      <w:sz w:val="18"/>
      <w:szCs w:val="18"/>
    </w:rPr>
  </w:style>
  <w:style w:type="paragraph" w:customStyle="1" w:styleId="MarginEdition">
    <w:name w:val="Margin Edition"/>
    <w:basedOn w:val="MarginNote"/>
    <w:rsid w:val="007B6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1C0"/>
    <w:rPr>
      <w:sz w:val="2"/>
      <w:szCs w:val="2"/>
    </w:rPr>
  </w:style>
  <w:style w:type="character" w:customStyle="1" w:styleId="Small">
    <w:name w:val="Small"/>
    <w:basedOn w:val="DefaultParagraphFont"/>
    <w:rsid w:val="007B61C0"/>
    <w:rPr>
      <w:sz w:val="16"/>
    </w:rPr>
  </w:style>
  <w:style w:type="paragraph" w:customStyle="1" w:styleId="WideTable">
    <w:name w:val="Wide Table"/>
    <w:basedOn w:val="Normal"/>
    <w:rsid w:val="007B6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1C0"/>
  </w:style>
  <w:style w:type="paragraph" w:styleId="Quote">
    <w:name w:val="Quote"/>
    <w:basedOn w:val="Heading1"/>
    <w:link w:val="QuoteChar"/>
    <w:qFormat/>
    <w:rsid w:val="007B6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1C0"/>
    <w:pPr>
      <w:pageBreakBefore/>
    </w:pPr>
  </w:style>
  <w:style w:type="paragraph" w:customStyle="1" w:styleId="Border">
    <w:name w:val="Border"/>
    <w:basedOn w:val="Normal"/>
    <w:qFormat/>
    <w:rsid w:val="007B6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1C0"/>
    <w:rPr>
      <w:u w:val="single"/>
    </w:rPr>
  </w:style>
  <w:style w:type="character" w:customStyle="1" w:styleId="BoldandItalics">
    <w:name w:val="Bold and Italics"/>
    <w:qFormat/>
    <w:rsid w:val="007B61C0"/>
    <w:rPr>
      <w:b/>
      <w:i/>
      <w:u w:val="none"/>
    </w:rPr>
  </w:style>
  <w:style w:type="paragraph" w:styleId="BalloonText">
    <w:name w:val="Balloon Text"/>
    <w:basedOn w:val="Normal"/>
    <w:link w:val="BalloonTextChar"/>
    <w:rsid w:val="007B6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1C0"/>
    <w:pPr>
      <w:spacing w:before="0" w:after="0"/>
    </w:pPr>
  </w:style>
  <w:style w:type="paragraph" w:customStyle="1" w:styleId="BodyTextBold">
    <w:name w:val="Body Text Bold"/>
    <w:basedOn w:val="BodyText"/>
    <w:qFormat/>
    <w:rsid w:val="007B61C0"/>
    <w:rPr>
      <w:b/>
    </w:rPr>
  </w:style>
  <w:style w:type="character" w:styleId="Hyperlink">
    <w:name w:val="Hyperlink"/>
    <w:basedOn w:val="DefaultParagraphFont"/>
    <w:uiPriority w:val="99"/>
    <w:unhideWhenUsed/>
    <w:rsid w:val="00A07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3101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MSL974029 Operate an automated mineral analysis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