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C69" w:rsidP="00EE2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MSL974024 Undertake field-based, remote-sensing monitoring</w:t>
      </w:r>
      <w:r>
        <w:fldChar w:fldCharType="end"/>
      </w:r>
    </w:p>
    <w:p w:rsidR="00EE2C69" w:rsidP="00EE2C69">
      <w:pPr>
        <w:pStyle w:val="Version"/>
        <w:sectPr w:rsidSect="00FF4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5E7" w:rsidP="00FF45E7">
      <w:pPr>
        <w:pStyle w:val="SuperHeading"/>
      </w:pPr>
      <w:r w:rsidRPr="00FF45E7">
        <w:t>MSL974024 Undertake field-based, remote-sensing monitoring</w:t>
      </w:r>
    </w:p>
    <w:p w:rsidR="00000000" w:rsidRPr="00FF45E7" w:rsidP="00FF45E7">
      <w:pPr>
        <w:pStyle w:val="Heading1"/>
      </w:pPr>
      <w:bookmarkStart w:id="1" w:name="O_986586"/>
      <w:bookmarkEnd w:id="1"/>
      <w:r w:rsidRPr="00FF45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45E7" w:rsidP="00FF45E7">
            <w:pPr>
              <w:pStyle w:val="BodyText"/>
            </w:pPr>
            <w:r w:rsidRPr="00FF45E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>Comments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 xml:space="preserve">This version was released in </w:t>
            </w:r>
            <w:r w:rsidRPr="00FF45E7">
              <w:rPr>
                <w:rStyle w:val="Emphasis"/>
              </w:rPr>
              <w:t>MSL Laboratory Operations Training Package Release 2.0.</w:t>
            </w:r>
          </w:p>
          <w:p w:rsidR="00000000" w:rsidRPr="00FF45E7" w:rsidP="00FF45E7">
            <w:pPr>
              <w:pStyle w:val="BodyText"/>
            </w:pPr>
            <w:r w:rsidRPr="00FF45E7">
              <w:t xml:space="preserve">Supersedes and equivalent to MSL974009 Undertake field-based, remote-sensing monitoring. Foundation skill </w:t>
            </w:r>
            <w:r w:rsidRPr="00FF45E7">
              <w:t>information added. Range of conditions removed. Assessment requirements amended.</w:t>
            </w:r>
          </w:p>
        </w:tc>
      </w:tr>
    </w:tbl>
    <w:p w:rsidR="00000000" w:rsidRPr="00FF45E7" w:rsidP="00FF45E7">
      <w:pPr>
        <w:pStyle w:val="BodyText"/>
      </w:pPr>
    </w:p>
    <w:p w:rsidR="00000000" w:rsidRPr="00FF45E7" w:rsidP="00FF45E7">
      <w:pPr>
        <w:pStyle w:val="AllowPageBreak"/>
      </w:pPr>
    </w:p>
    <w:p w:rsidR="00000000" w:rsidRPr="00FF45E7" w:rsidP="00FF45E7">
      <w:pPr>
        <w:pStyle w:val="Heading1"/>
      </w:pPr>
      <w:bookmarkStart w:id="2" w:name="O_986592"/>
      <w:bookmarkEnd w:id="2"/>
      <w:r w:rsidRPr="00FF45E7">
        <w:t>Application</w:t>
      </w:r>
    </w:p>
    <w:p w:rsidR="00000000" w:rsidRPr="00FF45E7" w:rsidP="00EE2C69">
      <w:pPr>
        <w:pStyle w:val="BodyText"/>
      </w:pPr>
      <w:r w:rsidRPr="00FF45E7">
        <w:t xml:space="preserve">This unit of competency describes the skills and knowledge to organise and undertake defined field-based, remote-sensing monitoring activities. </w:t>
      </w:r>
      <w:r w:rsidRPr="00FF45E7">
        <w:t xml:space="preserve">These may include assembling, setting up and checking appropriate monitoring equipment on-site, sampling, data collection and storage, equipment and system maintenance, and associated field testing and laboratory analysis. This unit of competency does not </w:t>
      </w:r>
      <w:r w:rsidRPr="00FF45E7">
        <w:t>cover developing specific monitoring protocols or detailed design and/or construction of instruments, buildings, structures associated with the remote-sensing monitoring activities.</w:t>
      </w:r>
    </w:p>
    <w:p w:rsidR="00000000" w:rsidRPr="00FF45E7" w:rsidP="00EE2C69">
      <w:pPr>
        <w:pStyle w:val="BodyText"/>
      </w:pPr>
      <w:r w:rsidRPr="00FF45E7">
        <w:t xml:space="preserve">This unit applies to technical, field and environmental officers working </w:t>
      </w:r>
      <w:r w:rsidRPr="00FF45E7">
        <w:t>in the environmental services, geotechnical, construction materials testing and mining industry sectors.</w:t>
      </w:r>
    </w:p>
    <w:p w:rsidR="00000000" w:rsidRPr="00FF45E7" w:rsidP="00EE2C69">
      <w:pPr>
        <w:pStyle w:val="BodyText"/>
      </w:pPr>
      <w:r w:rsidRPr="00FF45E7">
        <w:t>No licensing or certification requirements exist at the time of publication. However, regulations and/or external accreditation requirements for labor</w:t>
      </w:r>
      <w:r w:rsidRPr="00FF45E7">
        <w:t>atory operations exist, so local requirements should be checked. Relevant legislation, industry standards and codes of practice within Australia must also be applied.</w:t>
      </w:r>
    </w:p>
    <w:p w:rsidR="00000000" w:rsidRPr="00FF45E7" w:rsidP="00FF45E7">
      <w:pPr>
        <w:pStyle w:val="Heading1"/>
      </w:pPr>
      <w:bookmarkStart w:id="3" w:name="O_986591"/>
      <w:bookmarkEnd w:id="3"/>
      <w:r w:rsidRPr="00FF45E7">
        <w:t>Pre-requisite Unit</w:t>
      </w:r>
    </w:p>
    <w:p w:rsidR="00000000" w:rsidRPr="00FF45E7" w:rsidP="00EE2C69">
      <w:pPr>
        <w:pStyle w:val="BodyText"/>
      </w:pPr>
      <w:r w:rsidRPr="00FF45E7">
        <w:t>Nil</w:t>
      </w:r>
    </w:p>
    <w:p w:rsidR="00000000" w:rsidRPr="00FF45E7" w:rsidP="00FF45E7">
      <w:pPr>
        <w:pStyle w:val="Heading1"/>
      </w:pPr>
      <w:bookmarkStart w:id="4" w:name="O_986590"/>
      <w:bookmarkEnd w:id="4"/>
      <w:r w:rsidRPr="00FF45E7">
        <w:t>Competency Field</w:t>
      </w:r>
    </w:p>
    <w:p w:rsidR="00000000" w:rsidRPr="00FF45E7" w:rsidP="00EE2C69">
      <w:pPr>
        <w:pStyle w:val="BodyText"/>
      </w:pPr>
      <w:r w:rsidRPr="00FF45E7">
        <w:t>Testing</w:t>
      </w:r>
    </w:p>
    <w:p w:rsidR="00000000" w:rsidRPr="00FF45E7" w:rsidP="00FF45E7">
      <w:pPr>
        <w:pStyle w:val="Heading1"/>
      </w:pPr>
      <w:bookmarkStart w:id="5" w:name="O_986589"/>
      <w:bookmarkEnd w:id="5"/>
      <w:r w:rsidRPr="00FF45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Performance criteria describe the performance needed to demonstrate achievement of the element.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>Confirm monitoring requirements with supervising staff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Clar</w:t>
            </w:r>
            <w:r w:rsidRPr="00FF45E7">
              <w:t>ify the purpose, objectives and the preferred site for the remote-sensing activities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Review all emergency and hazard/risk assessments, site safety and environmental requirements, and data quality procedures for the field activities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Clarify details of all field parameters to be monitored and the preferred monitoring and data quality procedures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Confirm final data formats will suit stakeholders who receive or use the data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Clarify details of any statutory requirements that apply to the site and associated field activities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Review existing remote-sensing monitoring protocols, and siting standards or associated in-house requirements which relate to the field activities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>Assemble remote-sensing field monitoring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Identify required instruments, equipment and consumables and associated maintenance and replacement procedures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 xml:space="preserve">Identify site access, services and security requirements and any site constraints 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Complete all administrative requirements and obtain appropriate approvals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Confirm required instrument calibration and data storage, handling and transfer syste</w:t>
            </w:r>
            <w:r w:rsidRPr="00FF45E7">
              <w:t>ms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Field-check site suitability for monitoring activities and define alternative sites as necessary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Assemble remote-sensing monitoring system and check all components under laboratory conditions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 xml:space="preserve">Organise and establish the </w:t>
            </w:r>
            <w:r w:rsidRPr="00FF45E7">
              <w:rPr>
                <w:rStyle w:val="SpecialBold"/>
              </w:rPr>
              <w:t>remote-sensing monitoring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Identify, and confirm with senior staff, all resources required for operation of monitoring system in the field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Confirm that all safety, emergency and risk assessment requirements and dat</w:t>
            </w:r>
            <w:r w:rsidRPr="00FF45E7">
              <w:t>a quality procedures have been correctly applied to the field activities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Ensure correct packaging and transportation of equipment and instruments to defined field site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Establish remote monitoring station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Test operation of total system under field conditions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>Operate and maintain monitoring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Undertake regular or emergency inspections of the site according to set procedures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Undertake calibration checks according to written instructions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Inspect and maintain all instruments, equipment and data systems and organise replacement of defective items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Perform all field and laboratory activities safely and with minimal impact on the environment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Document all site visits and associated actions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Review the total monitoring activity on a regular basis and implement any required modifications or improvements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rPr>
                <w:rStyle w:val="SpecialBold"/>
              </w:rPr>
              <w:t>Close down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Confirm decision to close down site and finalise all data requirements with supervising staff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Dismantle monitoring system and arrange checking, packaging and transportation of all equipment and instruments back to base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Close down site in acco</w:t>
            </w:r>
            <w:r w:rsidRPr="00FF45E7">
              <w:t>rdance with workplace and environmental requirements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Hand back site and inform all relevant authorities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Test, decontaminate, if required, and store all equipment appropriately</w:t>
            </w:r>
          </w:p>
        </w:tc>
      </w:tr>
      <w:tr w:rsidTr="00FF45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5E7">
            <w:pPr>
              <w:pStyle w:val="BodyText"/>
              <w:rPr>
                <w:lang w:val="en-NZ"/>
              </w:rPr>
            </w:pPr>
            <w:r w:rsidRPr="00FF45E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5E7" w:rsidP="00FF45E7">
            <w:pPr>
              <w:pStyle w:val="BodyText"/>
            </w:pPr>
            <w:r w:rsidRPr="00FF45E7">
              <w:t>Document all close-down actions</w:t>
            </w:r>
          </w:p>
        </w:tc>
      </w:tr>
    </w:tbl>
    <w:p w:rsidR="00000000" w:rsidRPr="00FF45E7" w:rsidP="00FF45E7">
      <w:pPr>
        <w:pStyle w:val="BodyText"/>
      </w:pPr>
    </w:p>
    <w:p w:rsidR="00000000" w:rsidRPr="00FF45E7" w:rsidP="00FF45E7">
      <w:pPr>
        <w:pStyle w:val="AllowPageBreak"/>
      </w:pPr>
    </w:p>
    <w:p w:rsidR="00000000" w:rsidRPr="00FF45E7" w:rsidP="00FF45E7">
      <w:pPr>
        <w:pStyle w:val="Heading1"/>
      </w:pPr>
      <w:bookmarkStart w:id="6" w:name="O_986588"/>
      <w:bookmarkEnd w:id="6"/>
      <w:r w:rsidRPr="00FF45E7">
        <w:t>Foundation Skills</w:t>
      </w:r>
    </w:p>
    <w:p w:rsidR="00000000" w:rsidRPr="00FF45E7" w:rsidP="00EE2C69">
      <w:pPr>
        <w:pStyle w:val="BodyText"/>
      </w:pPr>
      <w:r w:rsidRPr="00FF45E7">
        <w:t>This section describes those language, literacy, numeracy and employment skills that are essential to performance.</w:t>
      </w:r>
    </w:p>
    <w:p w:rsidR="00000000" w:rsidRPr="00FF45E7" w:rsidP="00FF45E7">
      <w:pPr>
        <w:pStyle w:val="ListBullet"/>
      </w:pPr>
      <w:r w:rsidRPr="00FF45E7">
        <w:t>Problem solving skills to respond effectively to changed or unforeseen circumstances</w:t>
      </w:r>
    </w:p>
    <w:p w:rsidR="00000000" w:rsidRPr="00FF45E7" w:rsidP="00FF45E7">
      <w:pPr>
        <w:pStyle w:val="ListBullet"/>
      </w:pPr>
      <w:r w:rsidRPr="00FF45E7">
        <w:t xml:space="preserve">Oral communication skills to effectively consult with clients face-to-face and by telephone and to effectively participate in meetings. </w:t>
      </w:r>
    </w:p>
    <w:p w:rsidR="00000000" w:rsidRPr="00FF45E7" w:rsidP="00EE2C69">
      <w:pPr>
        <w:pStyle w:val="BodyText"/>
      </w:pPr>
      <w:r w:rsidRPr="00FF45E7">
        <w:t>Other foundation skills essential to performance are explicit in the performance criteria of this unit.</w:t>
      </w:r>
    </w:p>
    <w:p w:rsidR="00000000" w:rsidRPr="00FF45E7" w:rsidP="00FF45E7">
      <w:pPr>
        <w:pStyle w:val="Heading1"/>
      </w:pPr>
      <w:bookmarkStart w:id="7" w:name="O_986587"/>
      <w:bookmarkEnd w:id="7"/>
      <w:r w:rsidRPr="00FF45E7">
        <w:t>Unit Mapping Information</w:t>
      </w:r>
    </w:p>
    <w:p w:rsidR="00000000" w:rsidRPr="00FF45E7" w:rsidP="00EE2C69">
      <w:pPr>
        <w:pStyle w:val="BodyText"/>
      </w:pPr>
      <w:r w:rsidRPr="00FF45E7">
        <w:t>Equivalent to MSL974009 Undertake field-based, remote-sensing monitoring, Release 1.</w:t>
      </w:r>
    </w:p>
    <w:p w:rsidR="00000000" w:rsidRPr="00FF45E7" w:rsidP="00FF45E7">
      <w:pPr>
        <w:pStyle w:val="Heading1"/>
      </w:pPr>
      <w:bookmarkStart w:id="8" w:name="O_986580"/>
      <w:bookmarkEnd w:id="8"/>
      <w:r w:rsidRPr="00FF45E7">
        <w:t>Links</w:t>
      </w:r>
    </w:p>
    <w:p w:rsidR="00000000" w:rsidRPr="00FF45E7" w:rsidP="00EE2C69">
      <w:pPr>
        <w:pStyle w:val="BodyText"/>
      </w:pPr>
      <w:r w:rsidRPr="00FF45E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568D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F45E7" w:rsidP="00FF45E7"/>
    <w:sectPr w:rsidSect="00FF4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E7" w:rsidRPr="00EE2C69" w:rsidP="00EE2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69" w:rsidP="00FF4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C69" w:rsidP="00FF4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2C69" w:rsidP="00FF4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5E7" w:rsidRPr="00EE2C69" w:rsidP="00EE2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69" w:rsidRPr="002D2AF8" w:rsidP="00FF4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MSL974024 Undertake field-based, remote-sensing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EE2C69" w:rsidP="00FF4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9AC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AD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5E7"/>
  </w:style>
  <w:style w:type="character" w:customStyle="1" w:styleId="Heading1Char">
    <w:name w:val="Heading 1 Char"/>
    <w:basedOn w:val="DefaultParagraphFont"/>
    <w:link w:val="Heading1"/>
    <w:rsid w:val="00FF4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5E7"/>
    <w:rPr>
      <w:b/>
      <w:spacing w:val="0"/>
    </w:rPr>
  </w:style>
  <w:style w:type="character" w:styleId="Emphasis">
    <w:name w:val="Emphasis"/>
    <w:basedOn w:val="DefaultParagraphFont"/>
    <w:qFormat/>
    <w:rsid w:val="00FF45E7"/>
    <w:rPr>
      <w:i/>
    </w:rPr>
  </w:style>
  <w:style w:type="paragraph" w:customStyle="1" w:styleId="SuperHeading">
    <w:name w:val="SuperHeading"/>
    <w:basedOn w:val="Normal"/>
    <w:rsid w:val="00FF4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5E7"/>
  </w:style>
  <w:style w:type="paragraph" w:styleId="TableofFigures">
    <w:name w:val="table of figures"/>
    <w:basedOn w:val="Normal"/>
    <w:next w:val="Normal"/>
    <w:semiHidden/>
    <w:rsid w:val="00FF4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5E7"/>
    <w:rPr>
      <w:rFonts w:ascii="Wingdings" w:hAnsi="Wingdings"/>
    </w:rPr>
  </w:style>
  <w:style w:type="paragraph" w:customStyle="1" w:styleId="TableHeading">
    <w:name w:val="Table Heading"/>
    <w:basedOn w:val="HeadingBase"/>
    <w:rsid w:val="00FF4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5E7"/>
    <w:rPr>
      <w:color w:val="0033CC"/>
      <w:u w:val="none"/>
    </w:rPr>
  </w:style>
  <w:style w:type="paragraph" w:customStyle="1" w:styleId="BodyTextRight">
    <w:name w:val="Body Text Right"/>
    <w:basedOn w:val="BodyText"/>
    <w:rsid w:val="00FF4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5E7"/>
    <w:rPr>
      <w:sz w:val="32"/>
    </w:rPr>
  </w:style>
  <w:style w:type="paragraph" w:customStyle="1" w:styleId="HeadingProcedure">
    <w:name w:val="Heading Procedure"/>
    <w:basedOn w:val="HeadingBase"/>
    <w:next w:val="Normal"/>
    <w:rsid w:val="00FF4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5E7"/>
    <w:pPr>
      <w:spacing w:before="60" w:after="60"/>
    </w:pPr>
  </w:style>
  <w:style w:type="paragraph" w:styleId="ListContinue">
    <w:name w:val="List Continue"/>
    <w:basedOn w:val="List"/>
    <w:rsid w:val="00FF45E7"/>
    <w:pPr>
      <w:ind w:firstLine="0"/>
    </w:pPr>
  </w:style>
  <w:style w:type="paragraph" w:customStyle="1" w:styleId="ListNote">
    <w:name w:val="List Note"/>
    <w:basedOn w:val="List"/>
    <w:rsid w:val="00FF4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5E7"/>
    <w:rPr>
      <w:rFonts w:ascii="Courier New" w:hAnsi="Courier New"/>
    </w:rPr>
  </w:style>
  <w:style w:type="paragraph" w:customStyle="1" w:styleId="NoteBullet">
    <w:name w:val="Note Bullet"/>
    <w:basedOn w:val="Note"/>
    <w:rsid w:val="00FF4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5E7"/>
    <w:rPr>
      <w:b/>
      <w:smallCaps/>
    </w:rPr>
  </w:style>
  <w:style w:type="paragraph" w:customStyle="1" w:styleId="TableListNumber">
    <w:name w:val="Table List Number"/>
    <w:basedOn w:val="ListNumber"/>
    <w:rsid w:val="00FF4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5E7"/>
    <w:pPr>
      <w:numPr>
        <w:numId w:val="8"/>
      </w:numPr>
    </w:pPr>
  </w:style>
  <w:style w:type="paragraph" w:customStyle="1" w:styleId="ListAlpha2">
    <w:name w:val="List Alpha 2"/>
    <w:basedOn w:val="List2"/>
    <w:rsid w:val="00FF45E7"/>
    <w:pPr>
      <w:numPr>
        <w:numId w:val="7"/>
      </w:numPr>
    </w:pPr>
  </w:style>
  <w:style w:type="paragraph" w:styleId="List2">
    <w:name w:val="List 2"/>
    <w:basedOn w:val="BodyText"/>
    <w:rsid w:val="00FF4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5E7"/>
    <w:pPr>
      <w:numPr>
        <w:numId w:val="3"/>
      </w:numPr>
    </w:pPr>
  </w:style>
  <w:style w:type="paragraph" w:styleId="ListContinue2">
    <w:name w:val="List Continue 2"/>
    <w:basedOn w:val="List2"/>
    <w:rsid w:val="00FF45E7"/>
    <w:pPr>
      <w:ind w:firstLine="0"/>
    </w:pPr>
  </w:style>
  <w:style w:type="paragraph" w:styleId="ListContinue3">
    <w:name w:val="List Continue 3"/>
    <w:basedOn w:val="List3"/>
    <w:rsid w:val="00FF45E7"/>
    <w:pPr>
      <w:ind w:left="1021" w:firstLine="0"/>
    </w:pPr>
  </w:style>
  <w:style w:type="paragraph" w:styleId="ListContinue4">
    <w:name w:val="List Continue 4"/>
    <w:basedOn w:val="List4"/>
    <w:rsid w:val="00FF45E7"/>
    <w:pPr>
      <w:ind w:firstLine="0"/>
    </w:pPr>
  </w:style>
  <w:style w:type="paragraph" w:styleId="ListContinue5">
    <w:name w:val="List Continue 5"/>
    <w:basedOn w:val="List5"/>
    <w:rsid w:val="00FF45E7"/>
    <w:pPr>
      <w:ind w:firstLine="0"/>
    </w:pPr>
  </w:style>
  <w:style w:type="paragraph" w:styleId="ListNumber3">
    <w:name w:val="List Number 3"/>
    <w:basedOn w:val="List3"/>
    <w:rsid w:val="00FF45E7"/>
    <w:pPr>
      <w:numPr>
        <w:numId w:val="4"/>
      </w:numPr>
    </w:pPr>
  </w:style>
  <w:style w:type="paragraph" w:styleId="ListNumber4">
    <w:name w:val="List Number 4"/>
    <w:basedOn w:val="List4"/>
    <w:rsid w:val="00FF45E7"/>
    <w:pPr>
      <w:numPr>
        <w:numId w:val="5"/>
      </w:numPr>
    </w:pPr>
  </w:style>
  <w:style w:type="paragraph" w:styleId="ListNumber5">
    <w:name w:val="List Number 5"/>
    <w:basedOn w:val="List5"/>
    <w:rsid w:val="00FF45E7"/>
    <w:pPr>
      <w:numPr>
        <w:numId w:val="6"/>
      </w:numPr>
    </w:pPr>
  </w:style>
  <w:style w:type="paragraph" w:styleId="BlockText">
    <w:name w:val="Block Text"/>
    <w:basedOn w:val="Normal"/>
    <w:rsid w:val="00FF4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5E7"/>
    <w:rPr>
      <w:sz w:val="16"/>
      <w:vertAlign w:val="superscript"/>
    </w:rPr>
  </w:style>
  <w:style w:type="character" w:customStyle="1" w:styleId="Symbols">
    <w:name w:val="Symbols"/>
    <w:basedOn w:val="DefaultParagraphFont"/>
    <w:rsid w:val="00FF45E7"/>
    <w:rPr>
      <w:rFonts w:ascii="Symbol" w:hAnsi="Symbol"/>
    </w:rPr>
  </w:style>
  <w:style w:type="character" w:customStyle="1" w:styleId="MenuOptions">
    <w:name w:val="Menu Options"/>
    <w:basedOn w:val="DefaultParagraphFont"/>
    <w:rsid w:val="00FF4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5E7"/>
    <w:rPr>
      <w:b/>
    </w:rPr>
  </w:style>
  <w:style w:type="character" w:customStyle="1" w:styleId="Underlined">
    <w:name w:val="Underlined"/>
    <w:basedOn w:val="DefaultParagraphFont"/>
    <w:rsid w:val="00FF45E7"/>
    <w:rPr>
      <w:u w:val="single"/>
    </w:rPr>
  </w:style>
  <w:style w:type="paragraph" w:customStyle="1" w:styleId="TableBodyTextRight">
    <w:name w:val="Table Body Text Right"/>
    <w:basedOn w:val="TableBodyText"/>
    <w:rsid w:val="00FF4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5E7"/>
    <w:rPr>
      <w:sz w:val="18"/>
    </w:rPr>
  </w:style>
  <w:style w:type="paragraph" w:customStyle="1" w:styleId="BodySmallRight">
    <w:name w:val="Body Small Right"/>
    <w:basedOn w:val="BodyTextRight"/>
    <w:rsid w:val="00FF45E7"/>
    <w:rPr>
      <w:sz w:val="18"/>
      <w:szCs w:val="18"/>
    </w:rPr>
  </w:style>
  <w:style w:type="paragraph" w:customStyle="1" w:styleId="MarginEdition">
    <w:name w:val="Margin Edition"/>
    <w:basedOn w:val="MarginNote"/>
    <w:rsid w:val="00FF4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5E7"/>
    <w:rPr>
      <w:sz w:val="2"/>
      <w:szCs w:val="2"/>
    </w:rPr>
  </w:style>
  <w:style w:type="character" w:customStyle="1" w:styleId="Small">
    <w:name w:val="Small"/>
    <w:basedOn w:val="DefaultParagraphFont"/>
    <w:rsid w:val="00FF45E7"/>
    <w:rPr>
      <w:sz w:val="16"/>
    </w:rPr>
  </w:style>
  <w:style w:type="paragraph" w:customStyle="1" w:styleId="WideTable">
    <w:name w:val="Wide Table"/>
    <w:basedOn w:val="Normal"/>
    <w:rsid w:val="00FF4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5E7"/>
  </w:style>
  <w:style w:type="paragraph" w:styleId="Quote">
    <w:name w:val="Quote"/>
    <w:basedOn w:val="Heading1"/>
    <w:link w:val="QuoteChar"/>
    <w:qFormat/>
    <w:rsid w:val="00FF4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5E7"/>
    <w:pPr>
      <w:pageBreakBefore/>
    </w:pPr>
  </w:style>
  <w:style w:type="paragraph" w:customStyle="1" w:styleId="Border">
    <w:name w:val="Border"/>
    <w:basedOn w:val="Normal"/>
    <w:qFormat/>
    <w:rsid w:val="00FF4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5E7"/>
    <w:rPr>
      <w:u w:val="single"/>
    </w:rPr>
  </w:style>
  <w:style w:type="character" w:customStyle="1" w:styleId="BoldandItalics">
    <w:name w:val="Bold and Italics"/>
    <w:qFormat/>
    <w:rsid w:val="00FF45E7"/>
    <w:rPr>
      <w:b/>
      <w:i/>
      <w:u w:val="none"/>
    </w:rPr>
  </w:style>
  <w:style w:type="paragraph" w:styleId="BalloonText">
    <w:name w:val="Balloon Text"/>
    <w:basedOn w:val="Normal"/>
    <w:link w:val="BalloonTextChar"/>
    <w:rsid w:val="00FF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5E7"/>
    <w:pPr>
      <w:spacing w:before="0" w:after="0"/>
    </w:pPr>
  </w:style>
  <w:style w:type="paragraph" w:customStyle="1" w:styleId="BodyTextBold">
    <w:name w:val="Body Text Bold"/>
    <w:basedOn w:val="BodyText"/>
    <w:qFormat/>
    <w:rsid w:val="00FF45E7"/>
    <w:rPr>
      <w:b/>
    </w:rPr>
  </w:style>
  <w:style w:type="character" w:styleId="Hyperlink">
    <w:name w:val="Hyperlink"/>
    <w:basedOn w:val="DefaultParagraphFont"/>
    <w:uiPriority w:val="99"/>
    <w:unhideWhenUsed/>
    <w:rsid w:val="00EE2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5012</Characters>
  <Application>Microsoft Office Word</Application>
  <DocSecurity>0</DocSecurity>
  <Lines>238</Lines>
  <Paragraphs>115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MSL974024 Undertake field-based, remote-sensing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2022-04-05T05:04:00Z</dcterms:created>
  <dcterms:modified xsi:type="dcterms:W3CDTF">2022-04-05T05:04:00Z</dcterms:modified>
</cp:coreProperties>
</file>