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ED8" w:rsidP="00205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MSL974020 Perform food tests</w:t>
      </w:r>
      <w:r>
        <w:fldChar w:fldCharType="end"/>
      </w:r>
    </w:p>
    <w:p w:rsidR="00205ED8" w:rsidP="00205ED8">
      <w:pPr>
        <w:pStyle w:val="Version"/>
        <w:sectPr w:rsidSect="00E86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888" w:rsidP="00E86888">
      <w:pPr>
        <w:pStyle w:val="SuperHeading"/>
      </w:pPr>
      <w:r w:rsidRPr="00E86888">
        <w:t>MSL974020 Perform food tests</w:t>
      </w:r>
    </w:p>
    <w:p w:rsidR="00000000" w:rsidRPr="00E86888" w:rsidP="00E86888">
      <w:pPr>
        <w:pStyle w:val="Heading1"/>
      </w:pPr>
      <w:bookmarkStart w:id="1" w:name="O_986518"/>
      <w:bookmarkEnd w:id="1"/>
      <w:r w:rsidRPr="00E86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6888" w:rsidP="00E86888">
            <w:pPr>
              <w:pStyle w:val="BodyText"/>
            </w:pPr>
            <w:r w:rsidRPr="00E8688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Comments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 xml:space="preserve">This version was released in </w:t>
            </w:r>
            <w:r w:rsidRPr="00E86888">
              <w:rPr>
                <w:rStyle w:val="Emphasis"/>
              </w:rPr>
              <w:t>MSL Laboratory Operations Training Package Release 2.0.</w:t>
            </w:r>
          </w:p>
          <w:p w:rsidR="00000000" w:rsidRPr="00E86888" w:rsidP="00E86888">
            <w:pPr>
              <w:pStyle w:val="BodyText"/>
            </w:pPr>
            <w:r w:rsidRPr="00E86888">
              <w:t>Supersedes and equivalent to MSL974004 Perform food tests. Changes to performance criteria. Foundation skill information a</w:t>
            </w:r>
            <w:r w:rsidRPr="00E86888">
              <w:t>dded. Range of conditions removed. Assessment requirements amended.</w:t>
            </w:r>
          </w:p>
        </w:tc>
      </w:tr>
    </w:tbl>
    <w:p w:rsidR="00205ED8" w:rsidP="00E86888">
      <w:pPr>
        <w:pStyle w:val="BodyText"/>
      </w:pPr>
    </w:p>
    <w:p w:rsidR="00205ED8" w:rsidP="00E86888">
      <w:pPr>
        <w:pStyle w:val="BodyText"/>
      </w:pPr>
    </w:p>
    <w:p w:rsidR="00000000" w:rsidRPr="00E86888" w:rsidP="00E86888">
      <w:pPr>
        <w:pStyle w:val="Heading1"/>
      </w:pPr>
      <w:bookmarkStart w:id="2" w:name="O_986524"/>
      <w:bookmarkEnd w:id="2"/>
      <w:r w:rsidRPr="00E86888">
        <w:t>Application</w:t>
      </w:r>
    </w:p>
    <w:p w:rsidR="00000000" w:rsidRPr="00E86888" w:rsidP="00205ED8">
      <w:pPr>
        <w:pStyle w:val="BodyText"/>
      </w:pPr>
      <w:r w:rsidRPr="00E86888">
        <w:t>This unit of competency describes the skills and knowledge to interpret food test requirements, prepare samples, conduct pre-use and calibration checks on e</w:t>
      </w:r>
      <w:r w:rsidRPr="00E86888">
        <w:t>quipment, and perform routine testing of raw food materials, in-process materials and final products. These tests will involve several measurement steps. The unit includes data processing and some interpretation of results and tracking of obvious test malf</w:t>
      </w:r>
      <w:r w:rsidRPr="00E86888">
        <w:t>unctions where the procedure is standardised. However, personnel are not required to analyse data, optimise tests/procedures for specific samples or troubleshoot equipment problems where the solution is not apparent.</w:t>
      </w:r>
    </w:p>
    <w:p w:rsidR="00000000" w:rsidRPr="00E86888" w:rsidP="00205ED8">
      <w:pPr>
        <w:pStyle w:val="BodyText"/>
      </w:pPr>
      <w:r w:rsidRPr="00E86888">
        <w:t>This unit applies to laboratory or tec</w:t>
      </w:r>
      <w:r w:rsidRPr="00E86888">
        <w:t>hnical assistants and instrument operators working in the food and beverage processing industry sectors.</w:t>
      </w:r>
    </w:p>
    <w:p w:rsidR="00000000" w:rsidRPr="00E86888" w:rsidP="00205ED8">
      <w:pPr>
        <w:pStyle w:val="BodyText"/>
      </w:pPr>
      <w:r w:rsidRPr="00E86888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E86888">
        <w:t>and codes of practice within Australia must also be applied.</w:t>
      </w:r>
    </w:p>
    <w:p w:rsidR="00000000" w:rsidRPr="00E86888" w:rsidP="00E86888">
      <w:pPr>
        <w:pStyle w:val="Heading1"/>
      </w:pPr>
      <w:bookmarkStart w:id="3" w:name="O_986523"/>
      <w:bookmarkEnd w:id="3"/>
      <w:r w:rsidRPr="00E86888">
        <w:t>Pre-requisite Unit</w:t>
      </w:r>
    </w:p>
    <w:p w:rsidR="00000000" w:rsidRPr="00E86888" w:rsidP="00205ED8">
      <w:pPr>
        <w:pStyle w:val="BodyText"/>
      </w:pPr>
      <w:r w:rsidRPr="00E86888">
        <w:t>Nil</w:t>
      </w:r>
    </w:p>
    <w:p w:rsidR="00000000" w:rsidRPr="00E86888" w:rsidP="00E86888">
      <w:pPr>
        <w:pStyle w:val="Heading1"/>
      </w:pPr>
      <w:bookmarkStart w:id="4" w:name="O_986522"/>
      <w:bookmarkEnd w:id="4"/>
      <w:r w:rsidRPr="00E86888">
        <w:t>Competency Field</w:t>
      </w:r>
    </w:p>
    <w:p w:rsidR="00000000" w:rsidRPr="00E86888" w:rsidP="00205ED8">
      <w:pPr>
        <w:pStyle w:val="BodyText"/>
      </w:pPr>
      <w:r w:rsidRPr="00E86888">
        <w:t>Testing</w:t>
      </w:r>
    </w:p>
    <w:p w:rsidR="00000000" w:rsidRPr="00E86888" w:rsidP="00E86888">
      <w:pPr>
        <w:pStyle w:val="Heading1"/>
      </w:pPr>
      <w:bookmarkStart w:id="5" w:name="O_986521"/>
      <w:bookmarkEnd w:id="5"/>
      <w:r w:rsidRPr="00E868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Performance criteri</w:t>
            </w:r>
            <w:r w:rsidRPr="00E86888">
              <w:t>a describe the performance needed to demonstrate achievement of the element.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Review test request to identify samples to be tested, test method and equipment/instruments involved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Identify hazards and workplace controls associated with the sample, preparation/test methods, reagents and/or equipment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Plan parallel work sequences to optimise throughput of multiple sets of samples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Receive and prepare food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Log samples using standard operating procedures (SOPs)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Record sample description, compare with specification and note and report discrepancies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Prepare samples and standards in accordance with food testing requirements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Set up equipment/instruments in accordance with test method requirements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Perform pre-use and safety checks in accordance with relevant workplace and operating procedures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Check equipment calibration using specified standards and procedures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Inspect reagents required for quality issues including visual checks and expiry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Test samples to determine food components and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Operate equipment/instruments in accordance with test method requirements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Perform tests/procedures on all samples and standards in accordance with specified methods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Shut down equipment/instruments in accordance with operating procedures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Process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Record test data noting atypical observations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Construct calibration graphs and compute results for all samples from these graphs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Ensure calculated values are consistent with reference standards and expectations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Record and report results in accordance with workplace procedures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Determine if basic procedure or equipment problems have led to atypical data or results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Use established safe work practices and personal protective equipment (PPE) to ensure personal safety and that of other laboratory personnel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Minimise the generation of wastes and environmental impacts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Ensu</w:t>
            </w:r>
            <w:r w:rsidRPr="00E86888">
              <w:t>re the safe collection of laboratory and hazardous waste for subsequent disposal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Care for and store equipment and reagents as required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Make entries on report forms or into a laboratory information management system accurately calculating, recording or transcribing data as required</w:t>
            </w:r>
          </w:p>
        </w:tc>
      </w:tr>
      <w:tr w:rsidTr="00E86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88">
            <w:pPr>
              <w:pStyle w:val="BodyText"/>
              <w:rPr>
                <w:lang w:val="en-NZ"/>
              </w:rPr>
            </w:pPr>
            <w:r w:rsidRPr="00E86888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88" w:rsidP="00E86888">
            <w:pPr>
              <w:pStyle w:val="BodyText"/>
            </w:pPr>
            <w:r w:rsidRPr="00E86888">
              <w:t xml:space="preserve">Ensure traceability of sample from receipt to reporting of results </w:t>
            </w:r>
          </w:p>
        </w:tc>
      </w:tr>
    </w:tbl>
    <w:p w:rsidR="00000000" w:rsidRPr="00E86888" w:rsidP="00E86888">
      <w:pPr>
        <w:pStyle w:val="BodyText"/>
      </w:pPr>
    </w:p>
    <w:p w:rsidR="00000000" w:rsidRPr="00E86888" w:rsidP="00E86888">
      <w:pPr>
        <w:pStyle w:val="AllowPageBreak"/>
      </w:pPr>
    </w:p>
    <w:p w:rsidR="00000000" w:rsidRPr="00E86888" w:rsidP="00E86888">
      <w:pPr>
        <w:pStyle w:val="Heading1"/>
      </w:pPr>
      <w:bookmarkStart w:id="6" w:name="O_986520"/>
      <w:bookmarkEnd w:id="6"/>
      <w:r w:rsidRPr="00E86888">
        <w:t>Foundation Skil</w:t>
      </w:r>
      <w:r w:rsidRPr="00E86888">
        <w:t>ls</w:t>
      </w:r>
    </w:p>
    <w:p w:rsidR="00000000" w:rsidRPr="00E86888" w:rsidP="00205ED8">
      <w:pPr>
        <w:pStyle w:val="BodyText"/>
      </w:pPr>
      <w:r w:rsidRPr="00E86888">
        <w:t>This section describes those language, literacy, numeracy and employment skills that are essential to performance.</w:t>
      </w:r>
    </w:p>
    <w:p w:rsidR="00000000" w:rsidRPr="00E86888" w:rsidP="00E86888">
      <w:pPr>
        <w:pStyle w:val="ListBullet"/>
      </w:pPr>
      <w:r w:rsidRPr="00E86888">
        <w:t>Numeracy skills to:</w:t>
      </w:r>
    </w:p>
    <w:p w:rsidR="00000000" w:rsidRPr="00E86888" w:rsidP="00E86888">
      <w:pPr>
        <w:pStyle w:val="ListBullet2"/>
      </w:pPr>
      <w:r w:rsidRPr="00E86888">
        <w:t>process data, interpret gross features of data/results and make relevant conclusions</w:t>
      </w:r>
    </w:p>
    <w:p w:rsidR="00000000" w:rsidRPr="00E86888" w:rsidP="00E86888">
      <w:pPr>
        <w:pStyle w:val="ListBullet2"/>
      </w:pPr>
      <w:r w:rsidRPr="00E86888">
        <w:t>prepare calibration grap</w:t>
      </w:r>
      <w:r w:rsidRPr="00E86888">
        <w:t>hs and calculate results using appropriate equations, units, uncertainties and precision</w:t>
      </w:r>
    </w:p>
    <w:p w:rsidR="00000000" w:rsidRPr="00E86888" w:rsidP="00E86888">
      <w:pPr>
        <w:pStyle w:val="ListBullet"/>
      </w:pPr>
      <w:r w:rsidRPr="00E86888">
        <w:t>Problem-solving skills to:</w:t>
      </w:r>
    </w:p>
    <w:p w:rsidR="00000000" w:rsidRPr="00E86888" w:rsidP="00E86888">
      <w:pPr>
        <w:pStyle w:val="ListBullet2"/>
      </w:pPr>
      <w:r w:rsidRPr="00E86888">
        <w:t>identify atypical results as either out-of-normal range or an artefact</w:t>
      </w:r>
    </w:p>
    <w:p w:rsidR="00000000" w:rsidRPr="00E86888" w:rsidP="00E86888">
      <w:pPr>
        <w:pStyle w:val="ListBullet2"/>
      </w:pPr>
      <w:r w:rsidRPr="00E86888">
        <w:t xml:space="preserve">trace and source obvious causes of an artefact, track obvious test </w:t>
      </w:r>
      <w:r w:rsidRPr="00E86888">
        <w:t>malfunctions for standardised procedures, and troubleshoot basic equipment and methods.</w:t>
      </w:r>
    </w:p>
    <w:p w:rsidR="00000000" w:rsidRPr="00E86888" w:rsidP="00205ED8">
      <w:pPr>
        <w:pStyle w:val="BodyText"/>
      </w:pPr>
      <w:r w:rsidRPr="00E86888">
        <w:t>Other foundation skills essential to performance are explicit in the performance criteria of this unit.</w:t>
      </w:r>
    </w:p>
    <w:p w:rsidR="00000000" w:rsidRPr="00E86888" w:rsidP="00E86888">
      <w:pPr>
        <w:pStyle w:val="Heading1"/>
      </w:pPr>
      <w:bookmarkStart w:id="7" w:name="O_986519"/>
      <w:bookmarkEnd w:id="7"/>
      <w:r w:rsidRPr="00E86888">
        <w:t>Unit Mapping Information</w:t>
      </w:r>
    </w:p>
    <w:p w:rsidR="00000000" w:rsidRPr="00E86888" w:rsidP="00205ED8">
      <w:pPr>
        <w:pStyle w:val="BodyText"/>
      </w:pPr>
      <w:r w:rsidRPr="00E86888">
        <w:t>Equivalent to MSL97400</w:t>
      </w:r>
      <w:r w:rsidRPr="00E86888">
        <w:t>4 Perform food tests, Release 1.</w:t>
      </w:r>
    </w:p>
    <w:p w:rsidR="00000000" w:rsidRPr="00E86888" w:rsidP="00E86888">
      <w:pPr>
        <w:pStyle w:val="Heading1"/>
      </w:pPr>
      <w:bookmarkStart w:id="8" w:name="O_986512"/>
      <w:bookmarkEnd w:id="8"/>
      <w:r w:rsidRPr="00E86888">
        <w:t>Links</w:t>
      </w:r>
    </w:p>
    <w:p w:rsidR="00000000" w:rsidRPr="00E86888" w:rsidP="00205ED8">
      <w:pPr>
        <w:pStyle w:val="BodyText"/>
      </w:pPr>
      <w:r w:rsidRPr="00E8688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6115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86888" w:rsidP="00E86888"/>
    <w:sectPr w:rsidSect="00E86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88" w:rsidRPr="00205ED8" w:rsidP="00205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D8" w:rsidP="00E86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ED8" w:rsidP="00E86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5ED8" w:rsidP="00E86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888" w:rsidRPr="00205ED8" w:rsidP="00205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D8" w:rsidRPr="002D2AF8" w:rsidP="00E86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MSL974020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05ED8" w:rsidP="00E86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62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A26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C2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888"/>
  </w:style>
  <w:style w:type="character" w:customStyle="1" w:styleId="Heading1Char">
    <w:name w:val="Heading 1 Char"/>
    <w:basedOn w:val="DefaultParagraphFont"/>
    <w:link w:val="Heading1"/>
    <w:rsid w:val="00E86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8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888"/>
    <w:rPr>
      <w:b/>
      <w:spacing w:val="0"/>
    </w:rPr>
  </w:style>
  <w:style w:type="paragraph" w:styleId="ListBullet2">
    <w:name w:val="List Bullet 2"/>
    <w:basedOn w:val="List2"/>
    <w:rsid w:val="00E868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888"/>
    <w:rPr>
      <w:i/>
    </w:rPr>
  </w:style>
  <w:style w:type="paragraph" w:customStyle="1" w:styleId="SuperHeading">
    <w:name w:val="SuperHeading"/>
    <w:basedOn w:val="Normal"/>
    <w:rsid w:val="00E86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888"/>
  </w:style>
  <w:style w:type="paragraph" w:styleId="TableofFigures">
    <w:name w:val="table of figures"/>
    <w:basedOn w:val="Normal"/>
    <w:next w:val="Normal"/>
    <w:semiHidden/>
    <w:rsid w:val="00E86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8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888"/>
    <w:rPr>
      <w:rFonts w:ascii="Wingdings" w:hAnsi="Wingdings"/>
    </w:rPr>
  </w:style>
  <w:style w:type="paragraph" w:customStyle="1" w:styleId="TableHeading">
    <w:name w:val="Table Heading"/>
    <w:basedOn w:val="HeadingBase"/>
    <w:rsid w:val="00E86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888"/>
    <w:rPr>
      <w:color w:val="0033CC"/>
      <w:u w:val="none"/>
    </w:rPr>
  </w:style>
  <w:style w:type="paragraph" w:customStyle="1" w:styleId="BodyTextRight">
    <w:name w:val="Body Text Right"/>
    <w:basedOn w:val="BodyText"/>
    <w:rsid w:val="00E86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888"/>
    <w:rPr>
      <w:sz w:val="32"/>
    </w:rPr>
  </w:style>
  <w:style w:type="paragraph" w:customStyle="1" w:styleId="HeadingProcedure">
    <w:name w:val="Heading Procedure"/>
    <w:basedOn w:val="HeadingBase"/>
    <w:next w:val="Normal"/>
    <w:rsid w:val="00E86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888"/>
    <w:pPr>
      <w:spacing w:before="60" w:after="60"/>
    </w:pPr>
  </w:style>
  <w:style w:type="paragraph" w:styleId="ListContinue">
    <w:name w:val="List Continue"/>
    <w:basedOn w:val="List"/>
    <w:rsid w:val="00E86888"/>
    <w:pPr>
      <w:ind w:firstLine="0"/>
    </w:pPr>
  </w:style>
  <w:style w:type="paragraph" w:customStyle="1" w:styleId="ListNote">
    <w:name w:val="List Note"/>
    <w:basedOn w:val="List"/>
    <w:rsid w:val="00E86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888"/>
    <w:rPr>
      <w:rFonts w:ascii="Courier New" w:hAnsi="Courier New"/>
    </w:rPr>
  </w:style>
  <w:style w:type="paragraph" w:customStyle="1" w:styleId="NoteBullet">
    <w:name w:val="Note Bullet"/>
    <w:basedOn w:val="Note"/>
    <w:rsid w:val="00E86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888"/>
    <w:rPr>
      <w:b/>
      <w:smallCaps/>
    </w:rPr>
  </w:style>
  <w:style w:type="paragraph" w:customStyle="1" w:styleId="TableListNumber">
    <w:name w:val="Table List Number"/>
    <w:basedOn w:val="ListNumber"/>
    <w:rsid w:val="00E86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888"/>
    <w:pPr>
      <w:numPr>
        <w:numId w:val="9"/>
      </w:numPr>
    </w:pPr>
  </w:style>
  <w:style w:type="paragraph" w:customStyle="1" w:styleId="ListAlpha2">
    <w:name w:val="List Alpha 2"/>
    <w:basedOn w:val="List2"/>
    <w:rsid w:val="00E86888"/>
    <w:pPr>
      <w:numPr>
        <w:numId w:val="8"/>
      </w:numPr>
    </w:pPr>
  </w:style>
  <w:style w:type="paragraph" w:styleId="List2">
    <w:name w:val="List 2"/>
    <w:basedOn w:val="BodyText"/>
    <w:rsid w:val="00E86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888"/>
    <w:pPr>
      <w:numPr>
        <w:numId w:val="4"/>
      </w:numPr>
    </w:pPr>
  </w:style>
  <w:style w:type="paragraph" w:styleId="ListContinue2">
    <w:name w:val="List Continue 2"/>
    <w:basedOn w:val="List2"/>
    <w:rsid w:val="00E86888"/>
    <w:pPr>
      <w:ind w:firstLine="0"/>
    </w:pPr>
  </w:style>
  <w:style w:type="paragraph" w:styleId="ListContinue3">
    <w:name w:val="List Continue 3"/>
    <w:basedOn w:val="List3"/>
    <w:rsid w:val="00E86888"/>
    <w:pPr>
      <w:ind w:left="1021" w:firstLine="0"/>
    </w:pPr>
  </w:style>
  <w:style w:type="paragraph" w:styleId="ListContinue4">
    <w:name w:val="List Continue 4"/>
    <w:basedOn w:val="List4"/>
    <w:rsid w:val="00E86888"/>
    <w:pPr>
      <w:ind w:firstLine="0"/>
    </w:pPr>
  </w:style>
  <w:style w:type="paragraph" w:styleId="ListContinue5">
    <w:name w:val="List Continue 5"/>
    <w:basedOn w:val="List5"/>
    <w:rsid w:val="00E86888"/>
    <w:pPr>
      <w:ind w:firstLine="0"/>
    </w:pPr>
  </w:style>
  <w:style w:type="paragraph" w:styleId="ListNumber3">
    <w:name w:val="List Number 3"/>
    <w:basedOn w:val="List3"/>
    <w:rsid w:val="00E86888"/>
    <w:pPr>
      <w:numPr>
        <w:numId w:val="5"/>
      </w:numPr>
    </w:pPr>
  </w:style>
  <w:style w:type="paragraph" w:styleId="ListNumber4">
    <w:name w:val="List Number 4"/>
    <w:basedOn w:val="List4"/>
    <w:rsid w:val="00E86888"/>
    <w:pPr>
      <w:numPr>
        <w:numId w:val="6"/>
      </w:numPr>
    </w:pPr>
  </w:style>
  <w:style w:type="paragraph" w:styleId="ListNumber5">
    <w:name w:val="List Number 5"/>
    <w:basedOn w:val="List5"/>
    <w:rsid w:val="00E86888"/>
    <w:pPr>
      <w:numPr>
        <w:numId w:val="7"/>
      </w:numPr>
    </w:pPr>
  </w:style>
  <w:style w:type="paragraph" w:styleId="BlockText">
    <w:name w:val="Block Text"/>
    <w:basedOn w:val="Normal"/>
    <w:rsid w:val="00E86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888"/>
    <w:rPr>
      <w:sz w:val="16"/>
      <w:vertAlign w:val="superscript"/>
    </w:rPr>
  </w:style>
  <w:style w:type="character" w:customStyle="1" w:styleId="Symbols">
    <w:name w:val="Symbols"/>
    <w:basedOn w:val="DefaultParagraphFont"/>
    <w:rsid w:val="00E86888"/>
    <w:rPr>
      <w:rFonts w:ascii="Symbol" w:hAnsi="Symbol"/>
    </w:rPr>
  </w:style>
  <w:style w:type="character" w:customStyle="1" w:styleId="MenuOptions">
    <w:name w:val="Menu Options"/>
    <w:basedOn w:val="DefaultParagraphFont"/>
    <w:rsid w:val="00E86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888"/>
    <w:rPr>
      <w:b/>
    </w:rPr>
  </w:style>
  <w:style w:type="character" w:customStyle="1" w:styleId="Underlined">
    <w:name w:val="Underlined"/>
    <w:basedOn w:val="DefaultParagraphFont"/>
    <w:rsid w:val="00E86888"/>
    <w:rPr>
      <w:u w:val="single"/>
    </w:rPr>
  </w:style>
  <w:style w:type="paragraph" w:customStyle="1" w:styleId="TableBodyTextRight">
    <w:name w:val="Table Body Text Right"/>
    <w:basedOn w:val="TableBodyText"/>
    <w:rsid w:val="00E86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888"/>
    <w:rPr>
      <w:sz w:val="18"/>
    </w:rPr>
  </w:style>
  <w:style w:type="paragraph" w:customStyle="1" w:styleId="BodySmallRight">
    <w:name w:val="Body Small Right"/>
    <w:basedOn w:val="BodyTextRight"/>
    <w:rsid w:val="00E86888"/>
    <w:rPr>
      <w:sz w:val="18"/>
      <w:szCs w:val="18"/>
    </w:rPr>
  </w:style>
  <w:style w:type="paragraph" w:customStyle="1" w:styleId="MarginEdition">
    <w:name w:val="Margin Edition"/>
    <w:basedOn w:val="MarginNote"/>
    <w:rsid w:val="00E86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888"/>
    <w:rPr>
      <w:sz w:val="2"/>
      <w:szCs w:val="2"/>
    </w:rPr>
  </w:style>
  <w:style w:type="character" w:customStyle="1" w:styleId="Small">
    <w:name w:val="Small"/>
    <w:basedOn w:val="DefaultParagraphFont"/>
    <w:rsid w:val="00E86888"/>
    <w:rPr>
      <w:sz w:val="16"/>
    </w:rPr>
  </w:style>
  <w:style w:type="paragraph" w:customStyle="1" w:styleId="WideTable">
    <w:name w:val="Wide Table"/>
    <w:basedOn w:val="Normal"/>
    <w:rsid w:val="00E86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888"/>
  </w:style>
  <w:style w:type="paragraph" w:styleId="Quote">
    <w:name w:val="Quote"/>
    <w:basedOn w:val="Heading1"/>
    <w:link w:val="QuoteChar"/>
    <w:qFormat/>
    <w:rsid w:val="00E86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888"/>
    <w:pPr>
      <w:pageBreakBefore/>
    </w:pPr>
  </w:style>
  <w:style w:type="paragraph" w:customStyle="1" w:styleId="Border">
    <w:name w:val="Border"/>
    <w:basedOn w:val="Normal"/>
    <w:qFormat/>
    <w:rsid w:val="00E86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888"/>
    <w:rPr>
      <w:u w:val="single"/>
    </w:rPr>
  </w:style>
  <w:style w:type="character" w:customStyle="1" w:styleId="BoldandItalics">
    <w:name w:val="Bold and Italics"/>
    <w:qFormat/>
    <w:rsid w:val="00E86888"/>
    <w:rPr>
      <w:b/>
      <w:i/>
      <w:u w:val="none"/>
    </w:rPr>
  </w:style>
  <w:style w:type="paragraph" w:styleId="BalloonText">
    <w:name w:val="Balloon Text"/>
    <w:basedOn w:val="Normal"/>
    <w:link w:val="BalloonTextChar"/>
    <w:rsid w:val="00E86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888"/>
    <w:pPr>
      <w:spacing w:before="0" w:after="0"/>
    </w:pPr>
  </w:style>
  <w:style w:type="paragraph" w:customStyle="1" w:styleId="BodyTextBold">
    <w:name w:val="Body Text Bold"/>
    <w:basedOn w:val="BodyText"/>
    <w:qFormat/>
    <w:rsid w:val="00E86888"/>
    <w:rPr>
      <w:b/>
    </w:rPr>
  </w:style>
  <w:style w:type="character" w:styleId="Hyperlink">
    <w:name w:val="Hyperlink"/>
    <w:basedOn w:val="DefaultParagraphFont"/>
    <w:uiPriority w:val="99"/>
    <w:unhideWhenUsed/>
    <w:rsid w:val="00205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4566</Characters>
  <Application>Microsoft Office Word</Application>
  <DocSecurity>0</DocSecurity>
  <Lines>217</Lines>
  <Paragraphs>114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MSL974020 Perform food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