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FA4" w:rsidP="009B6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MSL974019 Perform chemical tests and procedures</w:t>
      </w:r>
      <w:r>
        <w:fldChar w:fldCharType="end"/>
      </w:r>
    </w:p>
    <w:p w:rsidR="009B6FA4" w:rsidP="009B6FA4">
      <w:pPr>
        <w:pStyle w:val="Version"/>
        <w:sectPr w:rsidSect="00A80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692" w:rsidP="00A80692">
      <w:pPr>
        <w:pStyle w:val="SuperHeading"/>
      </w:pPr>
      <w:r w:rsidRPr="00A80692">
        <w:t>MSL974019 Perform chemical tests and procedures</w:t>
      </w:r>
    </w:p>
    <w:p w:rsidR="00000000" w:rsidRPr="00A80692" w:rsidP="00A80692">
      <w:pPr>
        <w:pStyle w:val="Heading1"/>
      </w:pPr>
      <w:bookmarkStart w:id="1" w:name="O_986501"/>
      <w:bookmarkEnd w:id="1"/>
      <w:r w:rsidRPr="00A806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692" w:rsidP="00A80692">
            <w:pPr>
              <w:pStyle w:val="BodyText"/>
            </w:pPr>
            <w:r w:rsidRPr="00A8069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Comments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 xml:space="preserve">This version was released in </w:t>
            </w:r>
            <w:r w:rsidRPr="00A80692">
              <w:rPr>
                <w:rStyle w:val="Emphasis"/>
              </w:rPr>
              <w:t>MSL Laboratory Operations Training Package Release 2.0.</w:t>
            </w:r>
          </w:p>
          <w:p w:rsidR="00000000" w:rsidRPr="00A80692" w:rsidP="00A80692">
            <w:pPr>
              <w:pStyle w:val="BodyText"/>
            </w:pPr>
            <w:r w:rsidRPr="00A80692">
              <w:t>Supersedes and equivalent to MSL974003 Perform chemical tests and procedures. Changes to performance criteria. Ran</w:t>
            </w:r>
            <w:r w:rsidRPr="00A80692">
              <w:t>ge of conditions removed. Assessment requirements amended.</w:t>
            </w:r>
          </w:p>
        </w:tc>
      </w:tr>
    </w:tbl>
    <w:p w:rsidR="00000000" w:rsidRPr="00A80692" w:rsidP="00A80692">
      <w:pPr>
        <w:pStyle w:val="BodyText"/>
      </w:pPr>
    </w:p>
    <w:p w:rsidR="00000000" w:rsidRPr="00A80692" w:rsidP="00A80692">
      <w:pPr>
        <w:pStyle w:val="AllowPageBreak"/>
      </w:pPr>
    </w:p>
    <w:p w:rsidR="00000000" w:rsidRPr="00A80692" w:rsidP="00A80692">
      <w:pPr>
        <w:pStyle w:val="Heading1"/>
      </w:pPr>
      <w:bookmarkStart w:id="2" w:name="O_986507"/>
      <w:bookmarkEnd w:id="2"/>
      <w:r w:rsidRPr="00A80692">
        <w:t>Application</w:t>
      </w:r>
    </w:p>
    <w:p w:rsidR="00000000" w:rsidRPr="00A80692" w:rsidP="009B6FA4">
      <w:pPr>
        <w:pStyle w:val="BodyText"/>
      </w:pPr>
      <w:r w:rsidRPr="00A80692">
        <w:t>This unit of competency describes the skills and knowledge to interpret chemical test requirements, prepare samples, conduct pre-use and calibration checks on equipme</w:t>
      </w:r>
      <w:r w:rsidRPr="00A80692">
        <w:t>nt and perform routine chemical tests. These tests will involve several measurement steps. The unit includes basic data processing and interpretation of results.</w:t>
      </w:r>
    </w:p>
    <w:p w:rsidR="00000000" w:rsidRPr="00A80692" w:rsidP="009B6FA4">
      <w:pPr>
        <w:pStyle w:val="BodyText"/>
      </w:pPr>
      <w:r w:rsidRPr="00A80692">
        <w:t>This unit applies to laboratory or technical assistants and instrument operators in all indus</w:t>
      </w:r>
      <w:r w:rsidRPr="00A80692">
        <w:t>try sectors.</w:t>
      </w:r>
    </w:p>
    <w:p w:rsidR="00000000" w:rsidRPr="00A80692" w:rsidP="009B6FA4">
      <w:pPr>
        <w:pStyle w:val="BodyText"/>
      </w:pPr>
      <w:r w:rsidRPr="00A80692">
        <w:t>No licensing or certification requirements exist at the time of publication. However, regulations and/or external accreditation requirements for laboratory operations exist, so local requirements should be checked. Relevant legislation, indus</w:t>
      </w:r>
      <w:r w:rsidRPr="00A80692">
        <w:t>try standards and codes of practice within Australia must also be applied.</w:t>
      </w:r>
    </w:p>
    <w:p w:rsidR="00000000" w:rsidRPr="00A80692" w:rsidP="00A80692">
      <w:pPr>
        <w:pStyle w:val="Heading1"/>
      </w:pPr>
      <w:bookmarkStart w:id="3" w:name="O_986506"/>
      <w:bookmarkEnd w:id="3"/>
      <w:r w:rsidRPr="00A80692">
        <w:t>Pre-requisite Unit</w:t>
      </w:r>
    </w:p>
    <w:p w:rsidR="00000000" w:rsidRPr="00A80692" w:rsidP="009B6FA4">
      <w:pPr>
        <w:pStyle w:val="BodyText"/>
      </w:pPr>
      <w:r w:rsidRPr="00A80692">
        <w:t>Nil</w:t>
      </w:r>
    </w:p>
    <w:p w:rsidR="00000000" w:rsidRPr="00A80692" w:rsidP="00A80692">
      <w:pPr>
        <w:pStyle w:val="Heading1"/>
      </w:pPr>
      <w:bookmarkStart w:id="4" w:name="O_986505"/>
      <w:bookmarkEnd w:id="4"/>
      <w:r w:rsidRPr="00A80692">
        <w:t>Competency Field</w:t>
      </w:r>
    </w:p>
    <w:p w:rsidR="00000000" w:rsidRPr="00A80692" w:rsidP="009B6FA4">
      <w:pPr>
        <w:pStyle w:val="BodyText"/>
      </w:pPr>
      <w:r w:rsidRPr="00A80692">
        <w:t>Testing</w:t>
      </w:r>
    </w:p>
    <w:p w:rsidR="00000000" w:rsidRPr="00A80692" w:rsidP="00A80692">
      <w:pPr>
        <w:pStyle w:val="Heading1"/>
      </w:pPr>
      <w:bookmarkStart w:id="5" w:name="O_986504"/>
      <w:bookmarkEnd w:id="5"/>
      <w:r w:rsidRPr="00A806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Performance criteria describe the performance needed to demonstrate achievement of the element.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Interpret and schedule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Review test request to identify samples to be tested, test method and equipment and instruments involved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Identify hazards and workplace control measures associated with the sample, preparation and test methods, reagents and/or equipment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Plan work sequences to optimise throughput of multiple samples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Receive and prepare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Log samples using standard operating procedures (SOPs)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Record sample description, compare with specification and note and report discrepancies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Prepare samples and standards in accordance with chemical testing requirements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Check equipment before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Set up equipment and instruments in accordance with test method requirements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Perform pre-use and safety checks in accordance with relevant workplace and operating procedures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 xml:space="preserve">Check equipment calibration using specified standards and procedures 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Inspect reagents required for quality issues including visual checks and expiry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Maintain equipment log in accordance with workplace procedures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Test samples to determine chemical species or properties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Operate equipment and instruments in accordance with test method requirements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Perform tests or procedures on all samples and standards in accordance with specified methods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 xml:space="preserve">Shut down equipment and instruments in accordance </w:t>
            </w:r>
            <w:r w:rsidRPr="00A80692">
              <w:t>with operating procedures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Process and interpret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Record test data noting atypical observations and anomalies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Construct calibration graphs and compute results for all samples from these graphs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Check calculated values for consistency with expectations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Record and report results in accordance with workplace procedures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 xml:space="preserve">Determine if obvious procedure or equipment problems have led to atypical data or results 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Use established safe work practices and personal protective equipment (PPE) to ensure personal safety and that of other laboratory personnel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Minimise the generation of wastes and environmental impacts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Safely collect and dispose of laboratory and hazardous waste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Care for and store equipment and reagents as required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Record entries on report forms or into a laboratory information management system accurately calculating, recording or transcribing data as required</w:t>
            </w:r>
          </w:p>
        </w:tc>
      </w:tr>
      <w:tr w:rsidTr="00A80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692">
            <w:pPr>
              <w:pStyle w:val="BodyText"/>
              <w:rPr>
                <w:lang w:val="en-NZ"/>
              </w:rPr>
            </w:pPr>
            <w:r w:rsidRPr="00A80692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692" w:rsidP="00A80692">
            <w:pPr>
              <w:pStyle w:val="BodyText"/>
            </w:pPr>
            <w:r w:rsidRPr="00A80692">
              <w:t xml:space="preserve">Ensure traceability of sample from receipt to reporting of results </w:t>
            </w:r>
          </w:p>
        </w:tc>
      </w:tr>
    </w:tbl>
    <w:p w:rsidR="00000000" w:rsidRPr="00A80692" w:rsidP="00A80692">
      <w:pPr>
        <w:pStyle w:val="BodyText"/>
      </w:pPr>
    </w:p>
    <w:p w:rsidR="00000000" w:rsidRPr="00A80692" w:rsidP="00A80692">
      <w:pPr>
        <w:pStyle w:val="AllowPageBreak"/>
      </w:pPr>
    </w:p>
    <w:p w:rsidR="00000000" w:rsidRPr="00A80692" w:rsidP="00A80692">
      <w:pPr>
        <w:pStyle w:val="Heading1"/>
      </w:pPr>
      <w:bookmarkStart w:id="6" w:name="O_986503"/>
      <w:bookmarkEnd w:id="6"/>
      <w:r w:rsidRPr="00A80692">
        <w:t>Foundation Sk</w:t>
      </w:r>
      <w:r w:rsidRPr="00A80692">
        <w:t>ills</w:t>
      </w:r>
    </w:p>
    <w:p w:rsidR="00000000" w:rsidRPr="00A80692" w:rsidP="009B6FA4">
      <w:pPr>
        <w:pStyle w:val="BodyText"/>
      </w:pPr>
      <w:r w:rsidRPr="00A80692">
        <w:t>This section describes those language, literacy, numeracy and employment skills that are essential to performance.</w:t>
      </w:r>
    </w:p>
    <w:p w:rsidR="00000000" w:rsidRPr="00A80692" w:rsidP="00A80692">
      <w:pPr>
        <w:pStyle w:val="ListBullet"/>
      </w:pPr>
      <w:r w:rsidRPr="00A80692">
        <w:t>Problem-solving skills to trace and source obvious causes of artefacts, track obvious test malfunctions for standardised procedures, an</w:t>
      </w:r>
      <w:r w:rsidRPr="00A80692">
        <w:t>d troubleshoot basic equipment and methods.</w:t>
      </w:r>
    </w:p>
    <w:p w:rsidR="00000000" w:rsidRPr="00A80692" w:rsidP="00A80692">
      <w:pPr>
        <w:pStyle w:val="ListBullet"/>
      </w:pPr>
      <w:r w:rsidRPr="00A80692">
        <w:t>Calculate the concentration of solutions.</w:t>
      </w:r>
    </w:p>
    <w:p w:rsidR="00000000" w:rsidRPr="00A80692" w:rsidP="009B6FA4">
      <w:pPr>
        <w:pStyle w:val="BodyText"/>
      </w:pPr>
      <w:r w:rsidRPr="00A80692">
        <w:t>Other foundation skills essential to performance are explicit in the performance criteria of this unit.</w:t>
      </w:r>
    </w:p>
    <w:p w:rsidR="00000000" w:rsidRPr="00A80692" w:rsidP="00A80692">
      <w:pPr>
        <w:pStyle w:val="Heading1"/>
      </w:pPr>
      <w:bookmarkStart w:id="7" w:name="O_986502"/>
      <w:bookmarkEnd w:id="7"/>
      <w:r w:rsidRPr="00A80692">
        <w:t>Unit Mapping Information</w:t>
      </w:r>
    </w:p>
    <w:p w:rsidR="00000000" w:rsidRPr="00A80692" w:rsidP="009B6FA4">
      <w:pPr>
        <w:pStyle w:val="BodyText"/>
      </w:pPr>
      <w:r w:rsidRPr="00A80692">
        <w:t>Equivalent to MSL974003 Perform chemical tests and procedures, Release 1.</w:t>
      </w:r>
    </w:p>
    <w:p w:rsidR="00000000" w:rsidRPr="00A80692" w:rsidP="00A80692">
      <w:pPr>
        <w:pStyle w:val="Heading1"/>
      </w:pPr>
      <w:bookmarkStart w:id="8" w:name="O_986495"/>
      <w:bookmarkEnd w:id="8"/>
      <w:r w:rsidRPr="00A80692">
        <w:t>Links</w:t>
      </w:r>
    </w:p>
    <w:p w:rsidR="00000000" w:rsidRPr="00A80692" w:rsidP="009B6FA4">
      <w:pPr>
        <w:pStyle w:val="BodyText"/>
      </w:pPr>
      <w:r w:rsidRPr="00A80692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C3CC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80692" w:rsidP="00A80692"/>
    <w:sectPr w:rsidSect="00A806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92" w:rsidRPr="009B6FA4" w:rsidP="009B6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A4" w:rsidP="00A80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FA4" w:rsidP="00A80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B6FA4" w:rsidP="00A80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692" w:rsidRPr="009B6FA4" w:rsidP="009B6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A4" w:rsidRPr="002D2AF8" w:rsidP="00A80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MSL974019 Perform chemical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B6FA4" w:rsidP="00A80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740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0E8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692"/>
  </w:style>
  <w:style w:type="character" w:customStyle="1" w:styleId="Heading1Char">
    <w:name w:val="Heading 1 Char"/>
    <w:basedOn w:val="DefaultParagraphFont"/>
    <w:link w:val="Heading1"/>
    <w:rsid w:val="00A80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6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6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692"/>
    <w:rPr>
      <w:b/>
      <w:spacing w:val="0"/>
    </w:rPr>
  </w:style>
  <w:style w:type="character" w:styleId="Emphasis">
    <w:name w:val="Emphasis"/>
    <w:basedOn w:val="DefaultParagraphFont"/>
    <w:qFormat/>
    <w:rsid w:val="00A80692"/>
    <w:rPr>
      <w:i/>
    </w:rPr>
  </w:style>
  <w:style w:type="paragraph" w:customStyle="1" w:styleId="SuperHeading">
    <w:name w:val="SuperHeading"/>
    <w:basedOn w:val="Normal"/>
    <w:rsid w:val="00A80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6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6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6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0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692"/>
  </w:style>
  <w:style w:type="paragraph" w:styleId="TableofFigures">
    <w:name w:val="table of figures"/>
    <w:basedOn w:val="Normal"/>
    <w:next w:val="Normal"/>
    <w:semiHidden/>
    <w:rsid w:val="00A80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6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0692"/>
    <w:rPr>
      <w:rFonts w:ascii="Wingdings" w:hAnsi="Wingdings"/>
    </w:rPr>
  </w:style>
  <w:style w:type="paragraph" w:customStyle="1" w:styleId="TableHeading">
    <w:name w:val="Table Heading"/>
    <w:basedOn w:val="HeadingBase"/>
    <w:rsid w:val="00A80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692"/>
    <w:rPr>
      <w:color w:val="0033CC"/>
      <w:u w:val="none"/>
    </w:rPr>
  </w:style>
  <w:style w:type="paragraph" w:customStyle="1" w:styleId="BodyTextRight">
    <w:name w:val="Body Text Right"/>
    <w:basedOn w:val="BodyText"/>
    <w:rsid w:val="00A80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6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692"/>
    <w:rPr>
      <w:sz w:val="32"/>
    </w:rPr>
  </w:style>
  <w:style w:type="paragraph" w:customStyle="1" w:styleId="HeadingProcedure">
    <w:name w:val="Heading Procedure"/>
    <w:basedOn w:val="HeadingBase"/>
    <w:next w:val="Normal"/>
    <w:rsid w:val="00A80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692"/>
    <w:pPr>
      <w:spacing w:before="60" w:after="60"/>
    </w:pPr>
  </w:style>
  <w:style w:type="paragraph" w:styleId="ListContinue">
    <w:name w:val="List Continue"/>
    <w:basedOn w:val="List"/>
    <w:rsid w:val="00A80692"/>
    <w:pPr>
      <w:ind w:firstLine="0"/>
    </w:pPr>
  </w:style>
  <w:style w:type="paragraph" w:customStyle="1" w:styleId="ListNote">
    <w:name w:val="List Note"/>
    <w:basedOn w:val="List"/>
    <w:rsid w:val="00A80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692"/>
    <w:rPr>
      <w:rFonts w:ascii="Courier New" w:hAnsi="Courier New"/>
    </w:rPr>
  </w:style>
  <w:style w:type="paragraph" w:customStyle="1" w:styleId="NoteBullet">
    <w:name w:val="Note Bullet"/>
    <w:basedOn w:val="Note"/>
    <w:rsid w:val="00A80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6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692"/>
    <w:rPr>
      <w:b/>
      <w:smallCaps/>
    </w:rPr>
  </w:style>
  <w:style w:type="paragraph" w:customStyle="1" w:styleId="TableListNumber">
    <w:name w:val="Table List Number"/>
    <w:basedOn w:val="ListNumber"/>
    <w:rsid w:val="00A80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692"/>
    <w:pPr>
      <w:numPr>
        <w:numId w:val="8"/>
      </w:numPr>
    </w:pPr>
  </w:style>
  <w:style w:type="paragraph" w:customStyle="1" w:styleId="ListAlpha2">
    <w:name w:val="List Alpha 2"/>
    <w:basedOn w:val="List2"/>
    <w:rsid w:val="00A80692"/>
    <w:pPr>
      <w:numPr>
        <w:numId w:val="7"/>
      </w:numPr>
    </w:pPr>
  </w:style>
  <w:style w:type="paragraph" w:styleId="List2">
    <w:name w:val="List 2"/>
    <w:basedOn w:val="BodyText"/>
    <w:rsid w:val="00A80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6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6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0692"/>
    <w:pPr>
      <w:numPr>
        <w:numId w:val="3"/>
      </w:numPr>
    </w:pPr>
  </w:style>
  <w:style w:type="paragraph" w:styleId="ListContinue2">
    <w:name w:val="List Continue 2"/>
    <w:basedOn w:val="List2"/>
    <w:rsid w:val="00A80692"/>
    <w:pPr>
      <w:ind w:firstLine="0"/>
    </w:pPr>
  </w:style>
  <w:style w:type="paragraph" w:styleId="ListContinue3">
    <w:name w:val="List Continue 3"/>
    <w:basedOn w:val="List3"/>
    <w:rsid w:val="00A80692"/>
    <w:pPr>
      <w:ind w:left="1021" w:firstLine="0"/>
    </w:pPr>
  </w:style>
  <w:style w:type="paragraph" w:styleId="ListContinue4">
    <w:name w:val="List Continue 4"/>
    <w:basedOn w:val="List4"/>
    <w:rsid w:val="00A80692"/>
    <w:pPr>
      <w:ind w:firstLine="0"/>
    </w:pPr>
  </w:style>
  <w:style w:type="paragraph" w:styleId="ListContinue5">
    <w:name w:val="List Continue 5"/>
    <w:basedOn w:val="List5"/>
    <w:rsid w:val="00A80692"/>
    <w:pPr>
      <w:ind w:firstLine="0"/>
    </w:pPr>
  </w:style>
  <w:style w:type="paragraph" w:styleId="ListNumber3">
    <w:name w:val="List Number 3"/>
    <w:basedOn w:val="List3"/>
    <w:rsid w:val="00A80692"/>
    <w:pPr>
      <w:numPr>
        <w:numId w:val="4"/>
      </w:numPr>
    </w:pPr>
  </w:style>
  <w:style w:type="paragraph" w:styleId="ListNumber4">
    <w:name w:val="List Number 4"/>
    <w:basedOn w:val="List4"/>
    <w:rsid w:val="00A80692"/>
    <w:pPr>
      <w:numPr>
        <w:numId w:val="5"/>
      </w:numPr>
    </w:pPr>
  </w:style>
  <w:style w:type="paragraph" w:styleId="ListNumber5">
    <w:name w:val="List Number 5"/>
    <w:basedOn w:val="List5"/>
    <w:rsid w:val="00A80692"/>
    <w:pPr>
      <w:numPr>
        <w:numId w:val="6"/>
      </w:numPr>
    </w:pPr>
  </w:style>
  <w:style w:type="paragraph" w:styleId="BlockText">
    <w:name w:val="Block Text"/>
    <w:basedOn w:val="Normal"/>
    <w:rsid w:val="00A80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692"/>
    <w:rPr>
      <w:sz w:val="16"/>
      <w:vertAlign w:val="superscript"/>
    </w:rPr>
  </w:style>
  <w:style w:type="character" w:customStyle="1" w:styleId="Symbols">
    <w:name w:val="Symbols"/>
    <w:basedOn w:val="DefaultParagraphFont"/>
    <w:rsid w:val="00A80692"/>
    <w:rPr>
      <w:rFonts w:ascii="Symbol" w:hAnsi="Symbol"/>
    </w:rPr>
  </w:style>
  <w:style w:type="character" w:customStyle="1" w:styleId="MenuOptions">
    <w:name w:val="Menu Options"/>
    <w:basedOn w:val="DefaultParagraphFont"/>
    <w:rsid w:val="00A80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692"/>
    <w:rPr>
      <w:b/>
    </w:rPr>
  </w:style>
  <w:style w:type="character" w:customStyle="1" w:styleId="Underlined">
    <w:name w:val="Underlined"/>
    <w:basedOn w:val="DefaultParagraphFont"/>
    <w:rsid w:val="00A80692"/>
    <w:rPr>
      <w:u w:val="single"/>
    </w:rPr>
  </w:style>
  <w:style w:type="paragraph" w:customStyle="1" w:styleId="TableBodyTextRight">
    <w:name w:val="Table Body Text Right"/>
    <w:basedOn w:val="TableBodyText"/>
    <w:rsid w:val="00A80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692"/>
    <w:rPr>
      <w:sz w:val="18"/>
    </w:rPr>
  </w:style>
  <w:style w:type="paragraph" w:customStyle="1" w:styleId="BodySmallRight">
    <w:name w:val="Body Small Right"/>
    <w:basedOn w:val="BodyTextRight"/>
    <w:rsid w:val="00A80692"/>
    <w:rPr>
      <w:sz w:val="18"/>
      <w:szCs w:val="18"/>
    </w:rPr>
  </w:style>
  <w:style w:type="paragraph" w:customStyle="1" w:styleId="MarginEdition">
    <w:name w:val="Margin Edition"/>
    <w:basedOn w:val="MarginNote"/>
    <w:rsid w:val="00A80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692"/>
    <w:rPr>
      <w:sz w:val="2"/>
      <w:szCs w:val="2"/>
    </w:rPr>
  </w:style>
  <w:style w:type="character" w:customStyle="1" w:styleId="Small">
    <w:name w:val="Small"/>
    <w:basedOn w:val="DefaultParagraphFont"/>
    <w:rsid w:val="00A80692"/>
    <w:rPr>
      <w:sz w:val="16"/>
    </w:rPr>
  </w:style>
  <w:style w:type="paragraph" w:customStyle="1" w:styleId="WideTable">
    <w:name w:val="Wide Table"/>
    <w:basedOn w:val="Normal"/>
    <w:rsid w:val="00A80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692"/>
  </w:style>
  <w:style w:type="paragraph" w:styleId="Quote">
    <w:name w:val="Quote"/>
    <w:basedOn w:val="Heading1"/>
    <w:link w:val="QuoteChar"/>
    <w:qFormat/>
    <w:rsid w:val="00A80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692"/>
    <w:pPr>
      <w:pageBreakBefore/>
    </w:pPr>
  </w:style>
  <w:style w:type="paragraph" w:customStyle="1" w:styleId="Border">
    <w:name w:val="Border"/>
    <w:basedOn w:val="Normal"/>
    <w:qFormat/>
    <w:rsid w:val="00A80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692"/>
    <w:rPr>
      <w:u w:val="single"/>
    </w:rPr>
  </w:style>
  <w:style w:type="character" w:customStyle="1" w:styleId="BoldandItalics">
    <w:name w:val="Bold and Italics"/>
    <w:qFormat/>
    <w:rsid w:val="00A80692"/>
    <w:rPr>
      <w:b/>
      <w:i/>
      <w:u w:val="none"/>
    </w:rPr>
  </w:style>
  <w:style w:type="paragraph" w:styleId="BalloonText">
    <w:name w:val="Balloon Text"/>
    <w:basedOn w:val="Normal"/>
    <w:link w:val="BalloonTextChar"/>
    <w:rsid w:val="00A80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692"/>
    <w:pPr>
      <w:spacing w:before="0" w:after="0"/>
    </w:pPr>
  </w:style>
  <w:style w:type="paragraph" w:customStyle="1" w:styleId="BodyTextBold">
    <w:name w:val="Body Text Bold"/>
    <w:basedOn w:val="BodyText"/>
    <w:qFormat/>
    <w:rsid w:val="00A80692"/>
    <w:rPr>
      <w:b/>
    </w:rPr>
  </w:style>
  <w:style w:type="character" w:styleId="Hyperlink">
    <w:name w:val="Hyperlink"/>
    <w:basedOn w:val="DefaultParagraphFont"/>
    <w:uiPriority w:val="99"/>
    <w:unhideWhenUsed/>
    <w:rsid w:val="009B6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4140</Characters>
  <Application>Microsoft Office Word</Application>
  <DocSecurity>0</DocSecurity>
  <Lines>217</Lines>
  <Paragraphs>111</Paragraphs>
  <ScaleCrop>false</ScaleCrop>
  <Company>Author-it Software Corporation Ltd.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MSL974019 Perform chemical tests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