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984" w:rsidP="00444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MSL974018 Conduct geotechnical site investigations</w:t>
      </w:r>
      <w:r>
        <w:fldChar w:fldCharType="end"/>
      </w:r>
    </w:p>
    <w:p w:rsidR="00444984" w:rsidP="00444984">
      <w:pPr>
        <w:pStyle w:val="Version"/>
        <w:sectPr w:rsidSect="00776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07C" w:rsidP="0077607C">
      <w:pPr>
        <w:pStyle w:val="SuperHeading"/>
      </w:pPr>
      <w:r w:rsidRPr="0077607C">
        <w:t>MSL974018 Conduct geotechnical site investigations</w:t>
      </w:r>
    </w:p>
    <w:p w:rsidR="00000000" w:rsidRPr="0077607C" w:rsidP="0077607C">
      <w:pPr>
        <w:pStyle w:val="Heading1"/>
      </w:pPr>
      <w:bookmarkStart w:id="1" w:name="O_986484"/>
      <w:bookmarkEnd w:id="1"/>
      <w:r w:rsidRPr="007760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07C" w:rsidP="0077607C">
            <w:pPr>
              <w:pStyle w:val="BodyText"/>
            </w:pPr>
            <w:r w:rsidRPr="0077607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Comments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 xml:space="preserve">This version was released in </w:t>
            </w:r>
            <w:r w:rsidRPr="0077607C">
              <w:rPr>
                <w:rStyle w:val="Emphasis"/>
              </w:rPr>
              <w:t>MSL Laboratory Operations Training Package Release 2.0.</w:t>
            </w:r>
          </w:p>
          <w:p w:rsidR="00000000" w:rsidRPr="0077607C" w:rsidP="0077607C">
            <w:pPr>
              <w:pStyle w:val="BodyText"/>
            </w:pPr>
            <w:r w:rsidRPr="0077607C">
              <w:t>Supersedes and equivalent to MSL974002 Conduct geotechnical site investigations. Foundation skill information adde</w:t>
            </w:r>
            <w:r w:rsidRPr="0077607C">
              <w:t>d. Range of conditions removed. Assessment requirements amended.</w:t>
            </w:r>
          </w:p>
        </w:tc>
      </w:tr>
    </w:tbl>
    <w:p w:rsidR="00000000" w:rsidRPr="0077607C" w:rsidP="0077607C">
      <w:pPr>
        <w:pStyle w:val="BodyText"/>
      </w:pPr>
    </w:p>
    <w:p w:rsidR="00000000" w:rsidRPr="0077607C" w:rsidP="0077607C">
      <w:pPr>
        <w:pStyle w:val="AllowPageBreak"/>
      </w:pPr>
    </w:p>
    <w:p w:rsidR="00000000" w:rsidRPr="0077607C" w:rsidP="0077607C">
      <w:pPr>
        <w:pStyle w:val="Heading1"/>
      </w:pPr>
      <w:bookmarkStart w:id="2" w:name="O_986490"/>
      <w:bookmarkEnd w:id="2"/>
      <w:r w:rsidRPr="0077607C">
        <w:t>Application</w:t>
      </w:r>
    </w:p>
    <w:p w:rsidR="00000000" w:rsidRPr="0077607C" w:rsidP="00444984">
      <w:pPr>
        <w:pStyle w:val="BodyText"/>
      </w:pPr>
      <w:r w:rsidRPr="0077607C">
        <w:t>This unit of competency describes the skills and knowledge to prepare for and conduct and conclude site activities, such as excavations, sampling and testing as</w:t>
      </w:r>
      <w:r w:rsidRPr="0077607C">
        <w:t xml:space="preserve"> part of a geotechnical investigation team. Personnel are expected to solve common site problems and seek advice to deal with situations beyond their own technical competence.</w:t>
      </w:r>
    </w:p>
    <w:p w:rsidR="00000000" w:rsidRPr="0077607C" w:rsidP="00444984">
      <w:pPr>
        <w:pStyle w:val="BodyText"/>
      </w:pPr>
      <w:r w:rsidRPr="0077607C">
        <w:t xml:space="preserve">This competency is typically performed by laboratory technicians working under </w:t>
      </w:r>
      <w:r w:rsidRPr="0077607C">
        <w:t>the guidance of a geotechnical paraprofessional or engineer in the construction, mining and drilling industry sectors.</w:t>
      </w:r>
    </w:p>
    <w:p w:rsidR="00000000" w:rsidRPr="0077607C" w:rsidP="00444984">
      <w:pPr>
        <w:pStyle w:val="BodyText"/>
      </w:pPr>
      <w:r w:rsidRPr="0077607C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77607C">
        <w:t>and codes of practice within Australia must also be applied.</w:t>
      </w:r>
    </w:p>
    <w:p w:rsidR="00000000" w:rsidRPr="0077607C" w:rsidP="0077607C">
      <w:pPr>
        <w:pStyle w:val="Heading1"/>
      </w:pPr>
      <w:bookmarkStart w:id="3" w:name="O_986489"/>
      <w:bookmarkEnd w:id="3"/>
      <w:r w:rsidRPr="0077607C">
        <w:t>Pre-requisite Unit</w:t>
      </w:r>
    </w:p>
    <w:p w:rsidR="00000000" w:rsidRPr="0077607C" w:rsidP="00444984">
      <w:pPr>
        <w:pStyle w:val="BodyText"/>
      </w:pPr>
      <w:r w:rsidRPr="0077607C">
        <w:t>Nil</w:t>
      </w:r>
    </w:p>
    <w:p w:rsidR="00000000" w:rsidRPr="0077607C" w:rsidP="0077607C">
      <w:pPr>
        <w:pStyle w:val="Heading1"/>
      </w:pPr>
      <w:bookmarkStart w:id="4" w:name="O_986488"/>
      <w:bookmarkEnd w:id="4"/>
      <w:r w:rsidRPr="0077607C">
        <w:t>Competency Field</w:t>
      </w:r>
    </w:p>
    <w:p w:rsidR="00000000" w:rsidRPr="0077607C" w:rsidP="00444984">
      <w:pPr>
        <w:pStyle w:val="BodyText"/>
      </w:pPr>
      <w:r w:rsidRPr="0077607C">
        <w:t>Testing</w:t>
      </w:r>
    </w:p>
    <w:p w:rsidR="00000000" w:rsidRPr="0077607C" w:rsidP="0077607C">
      <w:pPr>
        <w:pStyle w:val="Heading1"/>
      </w:pPr>
      <w:bookmarkStart w:id="5" w:name="O_986487"/>
      <w:bookmarkEnd w:id="5"/>
      <w:r w:rsidRPr="007760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Performance criteri</w:t>
            </w:r>
            <w:r w:rsidRPr="0077607C">
              <w:t>a describe the performance needed to demonstrate achievement of the element.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Prepare for on-site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Identify the job, location, work instructions, appropriate sampling and test procedures and safety requirements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Identify site hazards and identify appropriate personal protective equipment (PPE) and safety procedures that are specified for the job and materials used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Record description of the job to be undertaken, compare with specification and report any vari</w:t>
            </w:r>
            <w:r w:rsidRPr="0077607C">
              <w:t>ations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Arrange for the collection, checking, stowing and transport of all tools, equipment and materials required at the site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Ensure site access requirements, such as entry permits and safety inductions, have been organised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Arrange excavation of boreholes, test pits and/or trenches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Identify the sampling/testing location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Excavate or oversee excavation to the sampling and testing depth, minimising disturbance and potential contamination of the site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Identify materials and record changes of strata, test results and other relevant information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Ensure materials from different strata are kept separate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Terminate the excavation at the appropriate depth and record the reason for termination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Conduct site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Prepare and check sampling equipment and materials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Take disturbed and undisturbed samples in accordance with workplace methods and procedures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Label and record samples in accordance with workplace methods and procedures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Recognise and record details of site conditions that may impact on sample integrity or site interpretation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Conduct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Prepare and conduct pre-use checks of test equipment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Perform, or assist with performing, tests in accordance with test methods or workplace procedures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Record test data in accordance with test methods or workplace procedures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Recognise obvious errors or atypical data and take appropriate corrective actions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Finalise 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Backfill or seal any excavation and ensure that it is left in a safe and uncontaminated condition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Reinstate surfaces disturbed by sampling or testing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Clean all equipment (and vehicle, as necessary) avoiding environmental damage, stormwater contamination or spread of pests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Check all equipment and materials prior to re-stowing them for safe</w:t>
            </w:r>
            <w:r w:rsidRPr="0077607C">
              <w:t xml:space="preserve"> transport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Handle and transport samples in accordance with established practices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Notify appropriate site personnel on completion of investigations and prior to leaving site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Check serviceability of test equipment before storage on return to base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Maintain equipment records in accordance with established practices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Complete site safety plans, equipment logs and test reports in accordance with workplace procedures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Maintain confidentiality of workplace information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Use safe work procedures and PPE to ensure personal safety and that of others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Minimise environmental impacts of testing/sampling and generation of waste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>Collect and/or dispose of all waste in accordance with workplace procedures</w:t>
            </w:r>
          </w:p>
        </w:tc>
      </w:tr>
    </w:tbl>
    <w:p w:rsidR="00000000" w:rsidRPr="0077607C" w:rsidP="0077607C">
      <w:pPr>
        <w:pStyle w:val="BodyText"/>
      </w:pPr>
    </w:p>
    <w:p w:rsidR="00000000" w:rsidRPr="0077607C" w:rsidP="0077607C">
      <w:pPr>
        <w:pStyle w:val="AllowPageBreak"/>
      </w:pPr>
    </w:p>
    <w:p w:rsidR="00000000" w:rsidRPr="0077607C" w:rsidP="0077607C">
      <w:pPr>
        <w:pStyle w:val="Heading1"/>
      </w:pPr>
      <w:bookmarkStart w:id="6" w:name="O_986486"/>
      <w:bookmarkEnd w:id="6"/>
      <w:r w:rsidRPr="0077607C">
        <w:t>Foundation Skills</w:t>
      </w:r>
    </w:p>
    <w:p w:rsidR="00000000" w:rsidRPr="0077607C" w:rsidP="00444984">
      <w:pPr>
        <w:pStyle w:val="BodyText"/>
      </w:pPr>
      <w:r w:rsidRPr="0077607C">
        <w:t>This section describes those language, literacy, numeracy and employment skills that are essential to performance.</w:t>
      </w:r>
    </w:p>
    <w:p w:rsidR="00000000" w:rsidRPr="0077607C" w:rsidP="0077607C">
      <w:pPr>
        <w:pStyle w:val="ListBullet"/>
      </w:pPr>
      <w:r w:rsidRPr="0077607C">
        <w:t>Numeracy skills to:</w:t>
      </w:r>
    </w:p>
    <w:p w:rsidR="00000000" w:rsidRPr="0077607C" w:rsidP="0077607C">
      <w:pPr>
        <w:pStyle w:val="ListBullet2"/>
      </w:pPr>
      <w:r w:rsidRPr="0077607C">
        <w:t>interpret maps, site plans and drawings accurately</w:t>
      </w:r>
    </w:p>
    <w:p w:rsidR="00000000" w:rsidRPr="0077607C" w:rsidP="0077607C">
      <w:pPr>
        <w:pStyle w:val="ListBullet2"/>
      </w:pPr>
      <w:r w:rsidRPr="0077607C">
        <w:t>perform basic in situ tests and site measurements, including location and depth.</w:t>
      </w:r>
    </w:p>
    <w:p w:rsidR="00000000" w:rsidRPr="0077607C" w:rsidP="00444984">
      <w:pPr>
        <w:pStyle w:val="BodyText"/>
      </w:pPr>
      <w:r w:rsidRPr="0077607C">
        <w:t>Other foundation skills essential to performance are explicit in the performance criteria of this unit.</w:t>
      </w:r>
    </w:p>
    <w:p w:rsidR="00000000" w:rsidRPr="0077607C" w:rsidP="0077607C">
      <w:pPr>
        <w:pStyle w:val="Heading1"/>
      </w:pPr>
      <w:bookmarkStart w:id="7" w:name="O_986485"/>
      <w:bookmarkEnd w:id="7"/>
      <w:r w:rsidRPr="0077607C">
        <w:t>Unit Mapping Information</w:t>
      </w:r>
    </w:p>
    <w:p w:rsidR="00000000" w:rsidRPr="0077607C" w:rsidP="00444984">
      <w:pPr>
        <w:pStyle w:val="BodyText"/>
      </w:pPr>
      <w:r w:rsidRPr="0077607C">
        <w:t>Equivalent to MSL974002 Condu</w:t>
      </w:r>
      <w:r w:rsidRPr="0077607C">
        <w:t>ct geotechnical site investigations, Release 1.</w:t>
      </w:r>
    </w:p>
    <w:p w:rsidR="00000000" w:rsidRPr="0077607C" w:rsidP="0077607C">
      <w:pPr>
        <w:pStyle w:val="Heading1"/>
      </w:pPr>
      <w:bookmarkStart w:id="8" w:name="O_986478"/>
      <w:bookmarkEnd w:id="8"/>
      <w:r w:rsidRPr="0077607C">
        <w:t>Links</w:t>
      </w:r>
    </w:p>
    <w:p w:rsidR="00000000" w:rsidRPr="0077607C" w:rsidP="00444984">
      <w:pPr>
        <w:pStyle w:val="BodyText"/>
      </w:pPr>
      <w:r w:rsidRPr="0077607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B6CD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607C" w:rsidP="00444984">
      <w:pPr>
        <w:pStyle w:val="BodyText"/>
        <w:sectPr w:rsidSect="007760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07C" w:rsidP="0077607C">
      <w:pPr>
        <w:pStyle w:val="SuperHeading"/>
      </w:pPr>
      <w:r w:rsidRPr="0077607C">
        <w:t>Assessment Requirements for MSL974018 Conduct geotechnical site investigations</w:t>
      </w:r>
    </w:p>
    <w:p w:rsidR="00000000" w:rsidRPr="0077607C" w:rsidP="0077607C">
      <w:pPr>
        <w:pStyle w:val="Heading1"/>
      </w:pPr>
      <w:bookmarkStart w:id="9" w:name="O_986480"/>
      <w:bookmarkEnd w:id="9"/>
      <w:r w:rsidRPr="007760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07C" w:rsidP="0077607C">
            <w:pPr>
              <w:pStyle w:val="BodyText"/>
            </w:pPr>
            <w:r w:rsidRPr="0077607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rPr>
                <w:rStyle w:val="SpecialBold"/>
              </w:rPr>
              <w:t>Comments</w:t>
            </w:r>
          </w:p>
        </w:tc>
      </w:tr>
      <w:tr w:rsidTr="0077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7C">
            <w:pPr>
              <w:pStyle w:val="BodyText"/>
              <w:rPr>
                <w:lang w:val="en-NZ"/>
              </w:rPr>
            </w:pPr>
            <w:r w:rsidRPr="0077607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7C" w:rsidP="0077607C">
            <w:pPr>
              <w:pStyle w:val="BodyText"/>
            </w:pPr>
            <w:r w:rsidRPr="0077607C">
              <w:t xml:space="preserve">This version was released in </w:t>
            </w:r>
            <w:r w:rsidRPr="0077607C">
              <w:rPr>
                <w:rStyle w:val="Emphasis"/>
              </w:rPr>
              <w:t>MSL Laboratory Operations Training Package Release 2.0.</w:t>
            </w:r>
          </w:p>
          <w:p w:rsidR="00000000" w:rsidRPr="0077607C" w:rsidP="0077607C">
            <w:pPr>
              <w:pStyle w:val="BodyText"/>
            </w:pPr>
            <w:r w:rsidRPr="0077607C">
              <w:t>Supersedes and equivalent to MSL974002 Conduct geotechnical site investigations. Foundation skill information added. Range of conditions removed. Assessment requirements amended.</w:t>
            </w:r>
          </w:p>
        </w:tc>
      </w:tr>
    </w:tbl>
    <w:p w:rsidR="00000000" w:rsidRPr="0077607C" w:rsidP="0077607C">
      <w:pPr>
        <w:pStyle w:val="BodyText"/>
      </w:pPr>
    </w:p>
    <w:p w:rsidR="00000000" w:rsidRPr="0077607C" w:rsidP="0077607C">
      <w:pPr>
        <w:pStyle w:val="AllowPageBreak"/>
      </w:pPr>
    </w:p>
    <w:p w:rsidR="00000000" w:rsidRPr="0077607C" w:rsidP="0077607C">
      <w:pPr>
        <w:pStyle w:val="Heading1"/>
      </w:pPr>
      <w:bookmarkStart w:id="10" w:name="O_986483"/>
      <w:bookmarkEnd w:id="10"/>
      <w:r w:rsidRPr="0077607C">
        <w:t>Pe</w:t>
      </w:r>
      <w:r w:rsidRPr="0077607C">
        <w:t>rformance Evidence</w:t>
      </w:r>
    </w:p>
    <w:p w:rsidR="00000000" w:rsidRPr="0077607C" w:rsidP="00444984">
      <w:pPr>
        <w:pStyle w:val="BodyText"/>
      </w:pPr>
      <w:r w:rsidRPr="0077607C">
        <w:t>There must be evidence the candidate has completed the tasks outlined in the elements and performance criteria of this unit, and:</w:t>
      </w:r>
    </w:p>
    <w:p w:rsidR="00000000" w:rsidRPr="0077607C" w:rsidP="0077607C">
      <w:pPr>
        <w:pStyle w:val="ListBullet"/>
      </w:pPr>
      <w:r w:rsidRPr="0077607C">
        <w:t>prepared for, and safely and effectively conducted and concluded at least 2 geot</w:t>
      </w:r>
      <w:r w:rsidRPr="0077607C">
        <w:t>echnical site investigations, to provide accurate sampling and testing data, site information and work results within the expected timeframe.</w:t>
      </w:r>
    </w:p>
    <w:p w:rsidR="00000000" w:rsidRPr="0077607C" w:rsidP="0077607C">
      <w:pPr>
        <w:pStyle w:val="AllowPageBreak"/>
      </w:pPr>
    </w:p>
    <w:p w:rsidR="00000000" w:rsidRPr="0077607C" w:rsidP="0077607C">
      <w:pPr>
        <w:pStyle w:val="Heading1"/>
      </w:pPr>
      <w:bookmarkStart w:id="11" w:name="O_986482"/>
      <w:bookmarkEnd w:id="11"/>
      <w:r w:rsidRPr="0077607C">
        <w:t>Knowledge Evidence</w:t>
      </w:r>
    </w:p>
    <w:p w:rsidR="00000000" w:rsidRPr="0077607C" w:rsidP="00444984">
      <w:pPr>
        <w:pStyle w:val="BodyText"/>
      </w:pPr>
      <w:r w:rsidRPr="0077607C">
        <w:t>There must be evidence the candidate has knowledge of:</w:t>
      </w:r>
    </w:p>
    <w:p w:rsidR="00000000" w:rsidRPr="0077607C" w:rsidP="0077607C">
      <w:pPr>
        <w:pStyle w:val="ListBullet"/>
      </w:pPr>
      <w:r w:rsidRPr="0077607C">
        <w:t>concepts, purposes and</w:t>
      </w:r>
      <w:r w:rsidRPr="0077607C">
        <w:t xml:space="preserve"> principles of geotechnical site investigations conducted as part of job role</w:t>
      </w:r>
    </w:p>
    <w:p w:rsidR="00000000" w:rsidRPr="0077607C" w:rsidP="0077607C">
      <w:pPr>
        <w:pStyle w:val="ListBullet"/>
      </w:pPr>
      <w:r w:rsidRPr="0077607C">
        <w:t>standard methods for sampling and testing construction materials, such as soils, aggregates, concrete and asphalt</w:t>
      </w:r>
    </w:p>
    <w:p w:rsidR="00000000" w:rsidRPr="0077607C" w:rsidP="0077607C">
      <w:pPr>
        <w:pStyle w:val="ListBullet"/>
      </w:pPr>
      <w:r w:rsidRPr="0077607C">
        <w:t>identification and classification of soil, rock and fill materia</w:t>
      </w:r>
      <w:r w:rsidRPr="0077607C">
        <w:t>ls</w:t>
      </w:r>
    </w:p>
    <w:p w:rsidR="00000000" w:rsidRPr="0077607C" w:rsidP="0077607C">
      <w:pPr>
        <w:pStyle w:val="ListBullet"/>
      </w:pPr>
      <w:r w:rsidRPr="0077607C">
        <w:t>uses and engineering properties of soil and rock materials</w:t>
      </w:r>
    </w:p>
    <w:p w:rsidR="00000000" w:rsidRPr="0077607C" w:rsidP="0077607C">
      <w:pPr>
        <w:pStyle w:val="ListBullet"/>
      </w:pPr>
      <w:r w:rsidRPr="0077607C">
        <w:t>principles of representative sampling and testing</w:t>
      </w:r>
    </w:p>
    <w:p w:rsidR="00000000" w:rsidRPr="0077607C" w:rsidP="0077607C">
      <w:pPr>
        <w:pStyle w:val="ListBullet"/>
      </w:pPr>
      <w:r w:rsidRPr="0077607C">
        <w:t>in situ testing methods used in job role</w:t>
      </w:r>
    </w:p>
    <w:p w:rsidR="00000000" w:rsidRPr="0077607C" w:rsidP="0077607C">
      <w:pPr>
        <w:pStyle w:val="ListBullet"/>
      </w:pPr>
      <w:r w:rsidRPr="0077607C">
        <w:t>site safety and management rules, including safety induction, risk assessments, controlled entry/exit t</w:t>
      </w:r>
      <w:r w:rsidRPr="0077607C">
        <w:t>o site and required personal protective equipment (PPE)</w:t>
      </w:r>
    </w:p>
    <w:p w:rsidR="00000000" w:rsidRPr="0077607C" w:rsidP="0077607C">
      <w:pPr>
        <w:pStyle w:val="ListBullet"/>
      </w:pPr>
      <w:r w:rsidRPr="0077607C">
        <w:t>common site problems and recommended corrective actions</w:t>
      </w:r>
    </w:p>
    <w:p w:rsidR="00000000" w:rsidRPr="0077607C" w:rsidP="0077607C">
      <w:pPr>
        <w:pStyle w:val="ListBullet"/>
      </w:pPr>
      <w:r w:rsidRPr="0077607C">
        <w:t>caving in of excavation walls:</w:t>
      </w:r>
    </w:p>
    <w:p w:rsidR="00000000" w:rsidRPr="0077607C" w:rsidP="0077607C">
      <w:pPr>
        <w:pStyle w:val="ListBullet2"/>
      </w:pPr>
      <w:r w:rsidRPr="0077607C">
        <w:t>drilling difficulties</w:t>
      </w:r>
    </w:p>
    <w:p w:rsidR="00000000" w:rsidRPr="0077607C" w:rsidP="0077607C">
      <w:pPr>
        <w:pStyle w:val="ListBullet2"/>
      </w:pPr>
      <w:r w:rsidRPr="0077607C">
        <w:t xml:space="preserve">not knowing the requirements of the design engineer </w:t>
      </w:r>
    </w:p>
    <w:p w:rsidR="00000000" w:rsidRPr="0077607C" w:rsidP="0077607C">
      <w:pPr>
        <w:pStyle w:val="ListBullet2"/>
      </w:pPr>
      <w:r w:rsidRPr="0077607C">
        <w:t>not understanding the nature of the item being designed (e.g. retaining wall, piled structure and earthworks)</w:t>
      </w:r>
    </w:p>
    <w:p w:rsidR="00000000" w:rsidRPr="0077607C" w:rsidP="0077607C">
      <w:pPr>
        <w:pStyle w:val="ListBullet2"/>
      </w:pPr>
      <w:r w:rsidRPr="0077607C">
        <w:t>sample loss during retrieval</w:t>
      </w:r>
    </w:p>
    <w:p w:rsidR="00000000" w:rsidRPr="0077607C" w:rsidP="0077607C">
      <w:pPr>
        <w:pStyle w:val="ListBullet2"/>
      </w:pPr>
      <w:r w:rsidRPr="0077607C">
        <w:t>knowing when to stop a hole, or what and when to test and sample</w:t>
      </w:r>
    </w:p>
    <w:p w:rsidR="00000000" w:rsidRPr="0077607C" w:rsidP="0077607C">
      <w:pPr>
        <w:pStyle w:val="ListBullet2"/>
      </w:pPr>
      <w:r w:rsidRPr="0077607C">
        <w:t>misidentification of samples and sampling locations</w:t>
      </w:r>
    </w:p>
    <w:p w:rsidR="00000000" w:rsidRPr="0077607C" w:rsidP="0077607C">
      <w:pPr>
        <w:pStyle w:val="ListBullet2"/>
      </w:pPr>
      <w:r w:rsidRPr="0077607C">
        <w:t>equipment breakdown and breakage</w:t>
      </w:r>
    </w:p>
    <w:p w:rsidR="00000000" w:rsidRPr="0077607C" w:rsidP="0077607C">
      <w:pPr>
        <w:pStyle w:val="ListBullet2"/>
      </w:pPr>
      <w:r w:rsidRPr="0077607C">
        <w:t>environmental problems and issues, including site access, inclement weather, traffic, wildlife, vegetation and construction activities</w:t>
      </w:r>
    </w:p>
    <w:p w:rsidR="00000000" w:rsidRPr="0077607C" w:rsidP="0077607C">
      <w:pPr>
        <w:pStyle w:val="ListBullet"/>
      </w:pPr>
      <w:r w:rsidRPr="0077607C">
        <w:t>awareness of environmental sustainability issues as they relate to the work task</w:t>
      </w:r>
    </w:p>
    <w:p w:rsidR="00000000" w:rsidRPr="0077607C" w:rsidP="0077607C">
      <w:pPr>
        <w:pStyle w:val="ListBullet"/>
      </w:pPr>
      <w:r w:rsidRPr="0077607C">
        <w:t>legal,</w:t>
      </w:r>
      <w:r w:rsidRPr="0077607C">
        <w:t xml:space="preserve"> ethical and work health and safety (WHS) requirements specific to the work task. </w:t>
      </w:r>
    </w:p>
    <w:p w:rsidR="00000000" w:rsidRPr="0077607C" w:rsidP="0077607C">
      <w:pPr>
        <w:pStyle w:val="AllowPageBreak"/>
      </w:pPr>
    </w:p>
    <w:p w:rsidR="00000000" w:rsidRPr="0077607C" w:rsidP="0077607C">
      <w:pPr>
        <w:pStyle w:val="Heading1"/>
      </w:pPr>
      <w:bookmarkStart w:id="12" w:name="O_986481"/>
      <w:bookmarkEnd w:id="12"/>
      <w:r w:rsidRPr="0077607C">
        <w:t>Assessment Conditions</w:t>
      </w:r>
    </w:p>
    <w:p w:rsidR="00000000" w:rsidRPr="0077607C" w:rsidP="00444984">
      <w:pPr>
        <w:pStyle w:val="BodyText"/>
      </w:pPr>
      <w:r w:rsidRPr="0077607C">
        <w:t>Skills must have been demonstrated in the workplace or in a simulated environment that reflects workplace conditions and contingencies</w:t>
      </w:r>
      <w:r w:rsidRPr="0077607C">
        <w:t xml:space="preserve">. The following conditions must be met for this unit: </w:t>
      </w:r>
    </w:p>
    <w:p w:rsidR="00000000" w:rsidRPr="0077607C" w:rsidP="0077607C">
      <w:pPr>
        <w:pStyle w:val="ListBullet"/>
      </w:pPr>
      <w:r w:rsidRPr="0077607C">
        <w:t xml:space="preserve">use of suitable facilities, equipment and resources, including: </w:t>
      </w:r>
    </w:p>
    <w:p w:rsidR="00000000" w:rsidRPr="0077607C" w:rsidP="0077607C">
      <w:pPr>
        <w:pStyle w:val="ListBullet2"/>
      </w:pPr>
      <w:r w:rsidRPr="0077607C">
        <w:t>access to geotechnical sites and relevant site documentation</w:t>
      </w:r>
    </w:p>
    <w:p w:rsidR="00000000" w:rsidRPr="0077607C" w:rsidP="0077607C">
      <w:pPr>
        <w:pStyle w:val="ListBullet2"/>
      </w:pPr>
      <w:r w:rsidRPr="0077607C">
        <w:t>workplace procedures, sampling plans, test methods and equipment manuals</w:t>
      </w:r>
    </w:p>
    <w:p w:rsidR="00000000" w:rsidRPr="0077607C" w:rsidP="0077607C">
      <w:pPr>
        <w:pStyle w:val="ListBullet2"/>
      </w:pPr>
      <w:r w:rsidRPr="0077607C">
        <w:t>consumables; hand tools; field sampling and test equipment, such as dynamic cone penetration (DCP) testing, standard penetration testing (SPT), shear vane, pocket penetrometer and water level indicator</w:t>
      </w:r>
    </w:p>
    <w:p w:rsidR="00000000" w:rsidRPr="0077607C" w:rsidP="0077607C">
      <w:pPr>
        <w:pStyle w:val="ListBullet2"/>
      </w:pPr>
      <w:r w:rsidRPr="0077607C">
        <w:t>excavation equipment, such as hand and power augers, p</w:t>
      </w:r>
      <w:r w:rsidRPr="0077607C">
        <w:t>owered excavators, generators and jack hammers</w:t>
      </w:r>
    </w:p>
    <w:p w:rsidR="00000000" w:rsidRPr="0077607C" w:rsidP="0077607C">
      <w:pPr>
        <w:pStyle w:val="ListBullet2"/>
      </w:pPr>
      <w:r w:rsidRPr="0077607C">
        <w:t>safety clothing and equipment, including helmets, boots, gloves, earmuffs and glasses.</w:t>
      </w:r>
    </w:p>
    <w:p w:rsidR="00000000" w:rsidRPr="0077607C" w:rsidP="0077607C">
      <w:pPr>
        <w:pStyle w:val="BodyText"/>
      </w:pPr>
    </w:p>
    <w:p w:rsidR="00000000" w:rsidRPr="0077607C" w:rsidP="00444984">
      <w:pPr>
        <w:pStyle w:val="BodyText"/>
      </w:pPr>
      <w:r w:rsidRPr="0077607C">
        <w:t>Assessors must satisfy the NVR/AQTF mandatory competency requirements for assessors.</w:t>
      </w:r>
    </w:p>
    <w:p w:rsidR="00000000" w:rsidRPr="0077607C" w:rsidP="0077607C">
      <w:pPr>
        <w:pStyle w:val="Heading1"/>
      </w:pPr>
      <w:bookmarkStart w:id="13" w:name="O_986479"/>
      <w:bookmarkEnd w:id="13"/>
      <w:r w:rsidRPr="0077607C">
        <w:t>Links</w:t>
      </w:r>
    </w:p>
    <w:p w:rsidR="00000000" w:rsidRPr="0077607C" w:rsidP="00444984">
      <w:pPr>
        <w:pStyle w:val="BodyText"/>
      </w:pPr>
      <w:r w:rsidRPr="0077607C">
        <w:t>MSL Laborator</w:t>
      </w:r>
      <w:r w:rsidRPr="0077607C">
        <w:t xml:space="preserve">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B6CD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607C" w:rsidP="0077607C"/>
    <w:sectPr w:rsidSect="007760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 w:rsidRPr="00444984" w:rsidP="00444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84" w:rsidP="00776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4984" w:rsidP="00776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4984" w:rsidP="007760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 w:rsidP="00776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4984">
      <w:t>Approved</w:t>
    </w:r>
    <w:r w:rsidR="004449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49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4984">
      <w:rPr>
        <w:noProof/>
      </w:rPr>
      <w:t>5</w:t>
    </w:r>
    <w:r>
      <w:rPr>
        <w:noProof/>
      </w:rPr>
      <w:fldChar w:fldCharType="end"/>
    </w:r>
  </w:p>
  <w:p w:rsidR="0077607C" w:rsidP="00776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49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4984">
      <w:t>Manufacturing Industry Skills Alliance</w:t>
    </w:r>
    <w:r w:rsidR="00444984">
      <w:fldChar w:fldCharType="end"/>
    </w:r>
  </w:p>
  <w:p w:rsidR="0077607C" w:rsidP="00776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07C" w:rsidRPr="00444984" w:rsidP="00444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84" w:rsidRPr="002D2AF8" w:rsidP="00776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MSL974018 Conduct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4984" w:rsidP="007760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7C" w:rsidRPr="002D2AF8" w:rsidP="00776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4984">
      <w:t>MSL974018 Conduct geotechnical site investigations</w:t>
    </w:r>
    <w:r w:rsidR="004449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4984">
      <w:rPr>
        <w:noProof/>
      </w:rPr>
      <w:t>2 March 2025</w:t>
    </w:r>
    <w:r>
      <w:fldChar w:fldCharType="end"/>
    </w:r>
  </w:p>
  <w:p w:rsidR="0077607C" w:rsidP="00776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D8F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6AF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6F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07C"/>
  </w:style>
  <w:style w:type="character" w:customStyle="1" w:styleId="Heading1Char">
    <w:name w:val="Heading 1 Char"/>
    <w:basedOn w:val="DefaultParagraphFont"/>
    <w:link w:val="Heading1"/>
    <w:rsid w:val="00776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07C"/>
    <w:rPr>
      <w:b/>
      <w:spacing w:val="0"/>
    </w:rPr>
  </w:style>
  <w:style w:type="paragraph" w:styleId="ListBullet2">
    <w:name w:val="List Bullet 2"/>
    <w:basedOn w:val="List2"/>
    <w:rsid w:val="007760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07C"/>
    <w:rPr>
      <w:i/>
    </w:rPr>
  </w:style>
  <w:style w:type="paragraph" w:customStyle="1" w:styleId="SuperHeading">
    <w:name w:val="SuperHeading"/>
    <w:basedOn w:val="Normal"/>
    <w:rsid w:val="00776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0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07C"/>
  </w:style>
  <w:style w:type="paragraph" w:styleId="TableofFigures">
    <w:name w:val="table of figures"/>
    <w:basedOn w:val="Normal"/>
    <w:next w:val="Normal"/>
    <w:semiHidden/>
    <w:rsid w:val="00776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0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07C"/>
    <w:rPr>
      <w:rFonts w:ascii="Wingdings" w:hAnsi="Wingdings"/>
    </w:rPr>
  </w:style>
  <w:style w:type="paragraph" w:customStyle="1" w:styleId="TableHeading">
    <w:name w:val="Table Heading"/>
    <w:basedOn w:val="HeadingBase"/>
    <w:rsid w:val="00776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07C"/>
    <w:rPr>
      <w:color w:val="0033CC"/>
      <w:u w:val="none"/>
    </w:rPr>
  </w:style>
  <w:style w:type="paragraph" w:customStyle="1" w:styleId="BodyTextRight">
    <w:name w:val="Body Text Right"/>
    <w:basedOn w:val="BodyText"/>
    <w:rsid w:val="00776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07C"/>
    <w:rPr>
      <w:sz w:val="32"/>
    </w:rPr>
  </w:style>
  <w:style w:type="paragraph" w:customStyle="1" w:styleId="HeadingProcedure">
    <w:name w:val="Heading Procedure"/>
    <w:basedOn w:val="HeadingBase"/>
    <w:next w:val="Normal"/>
    <w:rsid w:val="00776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07C"/>
    <w:pPr>
      <w:spacing w:before="60" w:after="60"/>
    </w:pPr>
  </w:style>
  <w:style w:type="paragraph" w:styleId="ListContinue">
    <w:name w:val="List Continue"/>
    <w:basedOn w:val="List"/>
    <w:rsid w:val="0077607C"/>
    <w:pPr>
      <w:ind w:firstLine="0"/>
    </w:pPr>
  </w:style>
  <w:style w:type="paragraph" w:customStyle="1" w:styleId="ListNote">
    <w:name w:val="List Note"/>
    <w:basedOn w:val="List"/>
    <w:rsid w:val="00776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07C"/>
    <w:rPr>
      <w:rFonts w:ascii="Courier New" w:hAnsi="Courier New"/>
    </w:rPr>
  </w:style>
  <w:style w:type="paragraph" w:customStyle="1" w:styleId="NoteBullet">
    <w:name w:val="Note Bullet"/>
    <w:basedOn w:val="Note"/>
    <w:rsid w:val="00776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07C"/>
    <w:rPr>
      <w:b/>
      <w:smallCaps/>
    </w:rPr>
  </w:style>
  <w:style w:type="paragraph" w:customStyle="1" w:styleId="TableListNumber">
    <w:name w:val="Table List Number"/>
    <w:basedOn w:val="ListNumber"/>
    <w:rsid w:val="00776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07C"/>
    <w:pPr>
      <w:numPr>
        <w:numId w:val="9"/>
      </w:numPr>
    </w:pPr>
  </w:style>
  <w:style w:type="paragraph" w:customStyle="1" w:styleId="ListAlpha2">
    <w:name w:val="List Alpha 2"/>
    <w:basedOn w:val="List2"/>
    <w:rsid w:val="0077607C"/>
    <w:pPr>
      <w:numPr>
        <w:numId w:val="8"/>
      </w:numPr>
    </w:pPr>
  </w:style>
  <w:style w:type="paragraph" w:styleId="List2">
    <w:name w:val="List 2"/>
    <w:basedOn w:val="BodyText"/>
    <w:rsid w:val="00776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07C"/>
    <w:pPr>
      <w:numPr>
        <w:numId w:val="4"/>
      </w:numPr>
    </w:pPr>
  </w:style>
  <w:style w:type="paragraph" w:styleId="ListContinue2">
    <w:name w:val="List Continue 2"/>
    <w:basedOn w:val="List2"/>
    <w:rsid w:val="0077607C"/>
    <w:pPr>
      <w:ind w:firstLine="0"/>
    </w:pPr>
  </w:style>
  <w:style w:type="paragraph" w:styleId="ListContinue3">
    <w:name w:val="List Continue 3"/>
    <w:basedOn w:val="List3"/>
    <w:rsid w:val="0077607C"/>
    <w:pPr>
      <w:ind w:left="1021" w:firstLine="0"/>
    </w:pPr>
  </w:style>
  <w:style w:type="paragraph" w:styleId="ListContinue4">
    <w:name w:val="List Continue 4"/>
    <w:basedOn w:val="List4"/>
    <w:rsid w:val="0077607C"/>
    <w:pPr>
      <w:ind w:firstLine="0"/>
    </w:pPr>
  </w:style>
  <w:style w:type="paragraph" w:styleId="ListContinue5">
    <w:name w:val="List Continue 5"/>
    <w:basedOn w:val="List5"/>
    <w:rsid w:val="0077607C"/>
    <w:pPr>
      <w:ind w:firstLine="0"/>
    </w:pPr>
  </w:style>
  <w:style w:type="paragraph" w:styleId="ListNumber3">
    <w:name w:val="List Number 3"/>
    <w:basedOn w:val="List3"/>
    <w:rsid w:val="0077607C"/>
    <w:pPr>
      <w:numPr>
        <w:numId w:val="5"/>
      </w:numPr>
    </w:pPr>
  </w:style>
  <w:style w:type="paragraph" w:styleId="ListNumber4">
    <w:name w:val="List Number 4"/>
    <w:basedOn w:val="List4"/>
    <w:rsid w:val="0077607C"/>
    <w:pPr>
      <w:numPr>
        <w:numId w:val="6"/>
      </w:numPr>
    </w:pPr>
  </w:style>
  <w:style w:type="paragraph" w:styleId="ListNumber5">
    <w:name w:val="List Number 5"/>
    <w:basedOn w:val="List5"/>
    <w:rsid w:val="0077607C"/>
    <w:pPr>
      <w:numPr>
        <w:numId w:val="7"/>
      </w:numPr>
    </w:pPr>
  </w:style>
  <w:style w:type="paragraph" w:styleId="BlockText">
    <w:name w:val="Block Text"/>
    <w:basedOn w:val="Normal"/>
    <w:rsid w:val="00776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07C"/>
    <w:rPr>
      <w:sz w:val="16"/>
      <w:vertAlign w:val="superscript"/>
    </w:rPr>
  </w:style>
  <w:style w:type="character" w:customStyle="1" w:styleId="Symbols">
    <w:name w:val="Symbols"/>
    <w:basedOn w:val="DefaultParagraphFont"/>
    <w:rsid w:val="0077607C"/>
    <w:rPr>
      <w:rFonts w:ascii="Symbol" w:hAnsi="Symbol"/>
    </w:rPr>
  </w:style>
  <w:style w:type="character" w:customStyle="1" w:styleId="MenuOptions">
    <w:name w:val="Menu Options"/>
    <w:basedOn w:val="DefaultParagraphFont"/>
    <w:rsid w:val="00776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07C"/>
    <w:rPr>
      <w:b/>
    </w:rPr>
  </w:style>
  <w:style w:type="character" w:customStyle="1" w:styleId="Underlined">
    <w:name w:val="Underlined"/>
    <w:basedOn w:val="DefaultParagraphFont"/>
    <w:rsid w:val="0077607C"/>
    <w:rPr>
      <w:u w:val="single"/>
    </w:rPr>
  </w:style>
  <w:style w:type="paragraph" w:customStyle="1" w:styleId="TableBodyTextRight">
    <w:name w:val="Table Body Text Right"/>
    <w:basedOn w:val="TableBodyText"/>
    <w:rsid w:val="00776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07C"/>
    <w:rPr>
      <w:sz w:val="18"/>
    </w:rPr>
  </w:style>
  <w:style w:type="paragraph" w:customStyle="1" w:styleId="BodySmallRight">
    <w:name w:val="Body Small Right"/>
    <w:basedOn w:val="BodyTextRight"/>
    <w:rsid w:val="0077607C"/>
    <w:rPr>
      <w:sz w:val="18"/>
      <w:szCs w:val="18"/>
    </w:rPr>
  </w:style>
  <w:style w:type="paragraph" w:customStyle="1" w:styleId="MarginEdition">
    <w:name w:val="Margin Edition"/>
    <w:basedOn w:val="MarginNote"/>
    <w:rsid w:val="00776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07C"/>
    <w:rPr>
      <w:sz w:val="2"/>
      <w:szCs w:val="2"/>
    </w:rPr>
  </w:style>
  <w:style w:type="character" w:customStyle="1" w:styleId="Small">
    <w:name w:val="Small"/>
    <w:basedOn w:val="DefaultParagraphFont"/>
    <w:rsid w:val="0077607C"/>
    <w:rPr>
      <w:sz w:val="16"/>
    </w:rPr>
  </w:style>
  <w:style w:type="paragraph" w:customStyle="1" w:styleId="WideTable">
    <w:name w:val="Wide Table"/>
    <w:basedOn w:val="Normal"/>
    <w:rsid w:val="00776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07C"/>
  </w:style>
  <w:style w:type="paragraph" w:styleId="Quote">
    <w:name w:val="Quote"/>
    <w:basedOn w:val="Heading1"/>
    <w:link w:val="QuoteChar"/>
    <w:qFormat/>
    <w:rsid w:val="00776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07C"/>
    <w:pPr>
      <w:pageBreakBefore/>
    </w:pPr>
  </w:style>
  <w:style w:type="paragraph" w:customStyle="1" w:styleId="Border">
    <w:name w:val="Border"/>
    <w:basedOn w:val="Normal"/>
    <w:qFormat/>
    <w:rsid w:val="00776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07C"/>
    <w:rPr>
      <w:u w:val="single"/>
    </w:rPr>
  </w:style>
  <w:style w:type="character" w:customStyle="1" w:styleId="BoldandItalics">
    <w:name w:val="Bold and Italics"/>
    <w:qFormat/>
    <w:rsid w:val="0077607C"/>
    <w:rPr>
      <w:b/>
      <w:i/>
      <w:u w:val="none"/>
    </w:rPr>
  </w:style>
  <w:style w:type="paragraph" w:styleId="BalloonText">
    <w:name w:val="Balloon Text"/>
    <w:basedOn w:val="Normal"/>
    <w:link w:val="BalloonTextChar"/>
    <w:rsid w:val="00776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07C"/>
    <w:pPr>
      <w:spacing w:before="0" w:after="0"/>
    </w:pPr>
  </w:style>
  <w:style w:type="paragraph" w:customStyle="1" w:styleId="BodyTextBold">
    <w:name w:val="Body Text Bold"/>
    <w:basedOn w:val="BodyText"/>
    <w:qFormat/>
    <w:rsid w:val="0077607C"/>
    <w:rPr>
      <w:b/>
    </w:rPr>
  </w:style>
  <w:style w:type="character" w:styleId="Hyperlink">
    <w:name w:val="Hyperlink"/>
    <w:basedOn w:val="DefaultParagraphFont"/>
    <w:uiPriority w:val="99"/>
    <w:unhideWhenUsed/>
    <w:rsid w:val="00444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7612</Characters>
  <Application>Microsoft Office Word</Application>
  <DocSecurity>0</DocSecurity>
  <Lines>317</Lines>
  <Paragraphs>176</Paragraphs>
  <ScaleCrop>false</ScaleCrop>
  <Company>Author-it Software Corporation Ltd.</Company>
  <LinksUpToDate>false</LinksUpToDate>
  <CharactersWithSpaces>8630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MSL974018 Conduct geotechnical site investigations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