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B9B" w:rsidP="005C2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MSL974017 Prepare, standardise and use solutions</w:t>
      </w:r>
      <w:r>
        <w:fldChar w:fldCharType="end"/>
      </w:r>
    </w:p>
    <w:p w:rsidR="005C2B9B" w:rsidP="005C2B9B">
      <w:pPr>
        <w:pStyle w:val="Version"/>
        <w:sectPr w:rsidSect="008C6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3AC" w:rsidP="008C63AC">
      <w:pPr>
        <w:pStyle w:val="SuperHeading"/>
      </w:pPr>
      <w:r w:rsidRPr="008C63AC">
        <w:t>MSL974017 Prepare, standardise and use solutions</w:t>
      </w:r>
    </w:p>
    <w:p w:rsidR="00000000" w:rsidRPr="008C63AC" w:rsidP="008C63AC">
      <w:pPr>
        <w:pStyle w:val="Heading1"/>
      </w:pPr>
      <w:bookmarkStart w:id="1" w:name="O_986467"/>
      <w:bookmarkEnd w:id="1"/>
      <w:r w:rsidRPr="008C63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3AC" w:rsidP="008C63AC">
            <w:pPr>
              <w:pStyle w:val="BodyText"/>
            </w:pPr>
            <w:r w:rsidRPr="008C63A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>Comments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 xml:space="preserve">This version was released in </w:t>
            </w:r>
            <w:r w:rsidRPr="008C63AC">
              <w:rPr>
                <w:rStyle w:val="Emphasis"/>
              </w:rPr>
              <w:t>MSL Laboratory Operations Training Package Release 2.0.</w:t>
            </w:r>
          </w:p>
          <w:p w:rsidR="00000000" w:rsidRPr="008C63AC" w:rsidP="008C63AC">
            <w:pPr>
              <w:pStyle w:val="BodyText"/>
            </w:pPr>
            <w:r w:rsidRPr="008C63AC">
              <w:t>Supersedes and equivalent to MSL974001 Prepare, standardise and use solutions. Foundation skill information added.</w:t>
            </w:r>
            <w:r w:rsidRPr="008C63AC">
              <w:t xml:space="preserve"> Range of conditions removed. Assessment requirements amended.</w:t>
            </w:r>
          </w:p>
        </w:tc>
      </w:tr>
    </w:tbl>
    <w:p w:rsidR="00000000" w:rsidRPr="008C63AC" w:rsidP="008C63AC">
      <w:pPr>
        <w:pStyle w:val="BodyText"/>
      </w:pPr>
    </w:p>
    <w:p w:rsidR="00000000" w:rsidRPr="008C63AC" w:rsidP="008C63AC">
      <w:pPr>
        <w:pStyle w:val="AllowPageBreak"/>
      </w:pPr>
    </w:p>
    <w:p w:rsidR="00000000" w:rsidRPr="008C63AC" w:rsidP="008C63AC">
      <w:pPr>
        <w:pStyle w:val="Heading1"/>
      </w:pPr>
      <w:bookmarkStart w:id="2" w:name="O_986473"/>
      <w:bookmarkEnd w:id="2"/>
      <w:r w:rsidRPr="008C63AC">
        <w:t>Application</w:t>
      </w:r>
    </w:p>
    <w:p w:rsidR="00000000" w:rsidRPr="008C63AC" w:rsidP="005C2B9B">
      <w:pPr>
        <w:pStyle w:val="BodyText"/>
      </w:pPr>
      <w:r w:rsidRPr="008C63AC">
        <w:t>This unit of competency describes the skills and knowledge to prepare, standardise and monitor the quality of solutions.</w:t>
      </w:r>
    </w:p>
    <w:p w:rsidR="00000000" w:rsidRPr="008C63AC" w:rsidP="005C2B9B">
      <w:pPr>
        <w:pStyle w:val="BodyText"/>
      </w:pPr>
      <w:r w:rsidRPr="008C63AC">
        <w:t>This unit of competency applies to labor</w:t>
      </w:r>
      <w:r w:rsidRPr="008C63AC">
        <w:t>atory technicians working in all industry sectors.</w:t>
      </w:r>
    </w:p>
    <w:p w:rsidR="00000000" w:rsidRPr="008C63AC" w:rsidP="005C2B9B">
      <w:pPr>
        <w:pStyle w:val="BodyText"/>
      </w:pPr>
      <w:r w:rsidRPr="008C63AC">
        <w:t>No licensing or certification requirements exist at the time of publication. However, regulations and/or external accreditation requirements for laboratory operations exist, so local requirements should b</w:t>
      </w:r>
      <w:r w:rsidRPr="008C63AC">
        <w:t>e checked. Relevant legislation, industry standards and codes of practice within Australia must also be applied.</w:t>
      </w:r>
    </w:p>
    <w:p w:rsidR="00000000" w:rsidRPr="008C63AC" w:rsidP="008C63AC">
      <w:pPr>
        <w:pStyle w:val="Heading1"/>
      </w:pPr>
      <w:bookmarkStart w:id="3" w:name="O_986472"/>
      <w:bookmarkEnd w:id="3"/>
      <w:r w:rsidRPr="008C63AC">
        <w:t>Pre-requisite Unit</w:t>
      </w:r>
    </w:p>
    <w:p w:rsidR="00000000" w:rsidRPr="008C63AC" w:rsidP="005C2B9B">
      <w:pPr>
        <w:pStyle w:val="BodyText"/>
      </w:pPr>
      <w:r w:rsidRPr="008C63AC">
        <w:t>Nil</w:t>
      </w:r>
    </w:p>
    <w:p w:rsidR="00000000" w:rsidRPr="008C63AC" w:rsidP="008C63AC">
      <w:pPr>
        <w:pStyle w:val="Heading1"/>
      </w:pPr>
      <w:bookmarkStart w:id="4" w:name="O_986471"/>
      <w:bookmarkEnd w:id="4"/>
      <w:r w:rsidRPr="008C63AC">
        <w:t>Competency Field</w:t>
      </w:r>
    </w:p>
    <w:p w:rsidR="00000000" w:rsidRPr="008C63AC" w:rsidP="005C2B9B">
      <w:pPr>
        <w:pStyle w:val="BodyText"/>
      </w:pPr>
      <w:r w:rsidRPr="008C63AC">
        <w:t>Testing</w:t>
      </w:r>
    </w:p>
    <w:p w:rsidR="00000000" w:rsidRPr="008C63AC" w:rsidP="008C63AC">
      <w:pPr>
        <w:pStyle w:val="Heading1"/>
      </w:pPr>
      <w:bookmarkStart w:id="5" w:name="O_986470"/>
      <w:bookmarkEnd w:id="5"/>
      <w:r w:rsidRPr="008C63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Performance criteria describe the performance needed to demonstrate achievement of the element.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>Prepare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Select appropriate procedure for solution preparation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Select equipment, materials an</w:t>
            </w:r>
            <w:r w:rsidRPr="008C63AC">
              <w:t xml:space="preserve">d solvent of specified </w:t>
            </w:r>
            <w:r w:rsidRPr="008C63AC">
              <w:t>purity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Measure appropriate quantities of reagents for solution preparation and record data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Select and assemble specified laboratory equipment and appropriate grade of glassware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Perform specified dilutions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Prepare solutions to achieve homogeneous mix of the specified concentration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Label and store solutions to maintain identity and stability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>Standardise and use volumetric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Assemble appropriate laboratory equipment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Perform s</w:t>
            </w:r>
            <w:r w:rsidRPr="008C63AC">
              <w:t>erial dilutions as required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Standardise the solution to the required specified range and precision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Label and store solutions to maintain identity and stability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Use standard volumetric solutions to determine concentration of unknown solutions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>Calculate and record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Calculate specified concentrations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Use authorised procedure if data is to be modified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Estimate and document uncertainty of measurement in accordance with workplace procedures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Record all relevant details according to laboratory procedures and report results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Report concentration with appropriate units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 xml:space="preserve">Monitor the quality of laboratory </w:t>
            </w:r>
            <w:r w:rsidRPr="008C63AC">
              <w:rPr>
                <w:rStyle w:val="SpecialBold"/>
              </w:rPr>
              <w:t>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Check solutions for visual deterioration and expiry date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 xml:space="preserve">Record details and label solutions according to </w:t>
            </w:r>
            <w:r w:rsidRPr="008C63AC">
              <w:t>laboratory procedures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Use established safe work practices and personal protective equipment (PPE) to ensure personal safety and that of other laboratory personnel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Clean up spills using appropriate techniques to protect personnel, work area and environment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Minimise generation of waste and environmental impacts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Ensure the safe collection of laboratory and hazardous waste for subsequent disposal</w:t>
            </w:r>
          </w:p>
        </w:tc>
      </w:tr>
      <w:tr w:rsidTr="008C6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3AC">
            <w:pPr>
              <w:pStyle w:val="BodyText"/>
              <w:rPr>
                <w:lang w:val="en-NZ"/>
              </w:rPr>
            </w:pPr>
            <w:r w:rsidRPr="008C63A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3AC" w:rsidP="008C63AC">
            <w:pPr>
              <w:pStyle w:val="BodyText"/>
            </w:pPr>
            <w:r w:rsidRPr="008C63AC">
              <w:t>Store equipment and reagents as required</w:t>
            </w:r>
          </w:p>
        </w:tc>
      </w:tr>
    </w:tbl>
    <w:p w:rsidR="00000000" w:rsidRPr="008C63AC" w:rsidP="008C63AC">
      <w:pPr>
        <w:pStyle w:val="BodyText"/>
      </w:pPr>
    </w:p>
    <w:p w:rsidR="00000000" w:rsidRPr="008C63AC" w:rsidP="008C63AC">
      <w:pPr>
        <w:pStyle w:val="AllowPageBreak"/>
      </w:pPr>
    </w:p>
    <w:p w:rsidR="00000000" w:rsidRPr="008C63AC" w:rsidP="008C63AC">
      <w:pPr>
        <w:pStyle w:val="Heading1"/>
      </w:pPr>
      <w:bookmarkStart w:id="6" w:name="O_986469"/>
      <w:bookmarkEnd w:id="6"/>
      <w:r w:rsidRPr="008C63AC">
        <w:t>Foundation Skills</w:t>
      </w:r>
    </w:p>
    <w:p w:rsidR="00000000" w:rsidRPr="008C63AC" w:rsidP="005C2B9B">
      <w:pPr>
        <w:pStyle w:val="BodyText"/>
      </w:pPr>
      <w:r w:rsidRPr="008C63AC">
        <w:t>This section describes those language, literacy, numeracy and employment skills that are essential to performance.</w:t>
      </w:r>
    </w:p>
    <w:p w:rsidR="00000000" w:rsidRPr="008C63AC" w:rsidP="008C63AC">
      <w:pPr>
        <w:pStyle w:val="ListBullet"/>
      </w:pPr>
      <w:r w:rsidRPr="008C63AC">
        <w:t>Numeracy skills to:</w:t>
      </w:r>
    </w:p>
    <w:p w:rsidR="00000000" w:rsidRPr="008C63AC" w:rsidP="008C63AC">
      <w:pPr>
        <w:pStyle w:val="ListBullet2"/>
      </w:pPr>
      <w:r w:rsidRPr="008C63AC">
        <w:t>select and use primary and secondary standards and indicators</w:t>
      </w:r>
    </w:p>
    <w:p w:rsidR="00000000" w:rsidRPr="008C63AC" w:rsidP="008C63AC">
      <w:pPr>
        <w:pStyle w:val="ListBullet2"/>
      </w:pPr>
      <w:r w:rsidRPr="008C63AC">
        <w:t>determine equivalence points using indicators and graphical methods</w:t>
      </w:r>
    </w:p>
    <w:p w:rsidR="00000000" w:rsidRPr="008C63AC" w:rsidP="008C63AC">
      <w:pPr>
        <w:pStyle w:val="ListBullet2"/>
      </w:pPr>
      <w:r w:rsidRPr="008C63AC">
        <w:t>calculate the concentration of the solution with appropriate units and uncertainties given the chemical reaction for the titration</w:t>
      </w:r>
    </w:p>
    <w:p w:rsidR="00000000" w:rsidRPr="008C63AC" w:rsidP="008C63AC">
      <w:pPr>
        <w:pStyle w:val="ListBullet2"/>
      </w:pPr>
      <w:r w:rsidRPr="008C63AC">
        <w:t xml:space="preserve">recognise control results that are not within acceptable </w:t>
      </w:r>
      <w:r w:rsidRPr="008C63AC">
        <w:t>range.</w:t>
      </w:r>
    </w:p>
    <w:p w:rsidR="00000000" w:rsidRPr="008C63AC" w:rsidP="005C2B9B">
      <w:pPr>
        <w:pStyle w:val="BodyText"/>
      </w:pPr>
      <w:r w:rsidRPr="008C63AC">
        <w:t>Other foundation skills essential to performance are explicit in the performance criteria of this unit.</w:t>
      </w:r>
    </w:p>
    <w:p w:rsidR="00000000" w:rsidRPr="008C63AC" w:rsidP="008C63AC">
      <w:pPr>
        <w:pStyle w:val="Heading1"/>
      </w:pPr>
      <w:bookmarkStart w:id="7" w:name="O_986468"/>
      <w:bookmarkEnd w:id="7"/>
      <w:r w:rsidRPr="008C63AC">
        <w:t>Unit Mapping Information</w:t>
      </w:r>
    </w:p>
    <w:p w:rsidR="00000000" w:rsidRPr="008C63AC" w:rsidP="005C2B9B">
      <w:pPr>
        <w:pStyle w:val="BodyText"/>
      </w:pPr>
      <w:r w:rsidRPr="008C63AC">
        <w:t xml:space="preserve">Equivalent to MSL974001 Prepare, standardise and use solutions, Release 1. </w:t>
      </w:r>
    </w:p>
    <w:p w:rsidR="00000000" w:rsidRPr="008C63AC" w:rsidP="008C63AC">
      <w:pPr>
        <w:pStyle w:val="Heading1"/>
      </w:pPr>
      <w:bookmarkStart w:id="8" w:name="O_986461"/>
      <w:bookmarkEnd w:id="8"/>
      <w:r w:rsidRPr="008C63AC">
        <w:t>Links</w:t>
      </w:r>
    </w:p>
    <w:p w:rsidR="00000000" w:rsidRPr="008C63AC" w:rsidP="005C2B9B">
      <w:pPr>
        <w:pStyle w:val="BodyText"/>
      </w:pPr>
      <w:r w:rsidRPr="008C63AC">
        <w:t xml:space="preserve">MSL </w:t>
      </w:r>
      <w:r w:rsidRPr="008C63AC">
        <w:t xml:space="preserve">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56E6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C63AC" w:rsidP="008C63AC"/>
    <w:sectPr w:rsidSect="008C63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AC" w:rsidRPr="005C2B9B" w:rsidP="005C2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9B" w:rsidP="008C6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B9B" w:rsidP="008C6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2B9B" w:rsidP="008C6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3AC" w:rsidRPr="005C2B9B" w:rsidP="005C2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9B" w:rsidRPr="002D2AF8" w:rsidP="008C6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MSL974017 Prepare, standardise and use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2B9B" w:rsidP="008C6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808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A3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90B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3AC"/>
  </w:style>
  <w:style w:type="character" w:customStyle="1" w:styleId="Heading1Char">
    <w:name w:val="Heading 1 Char"/>
    <w:basedOn w:val="DefaultParagraphFont"/>
    <w:link w:val="Heading1"/>
    <w:rsid w:val="008C6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3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3AC"/>
    <w:rPr>
      <w:b/>
      <w:spacing w:val="0"/>
    </w:rPr>
  </w:style>
  <w:style w:type="paragraph" w:styleId="ListBullet2">
    <w:name w:val="List Bullet 2"/>
    <w:basedOn w:val="List2"/>
    <w:rsid w:val="008C63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63AC"/>
    <w:rPr>
      <w:i/>
    </w:rPr>
  </w:style>
  <w:style w:type="paragraph" w:customStyle="1" w:styleId="SuperHeading">
    <w:name w:val="SuperHeading"/>
    <w:basedOn w:val="Normal"/>
    <w:rsid w:val="008C6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3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3AC"/>
  </w:style>
  <w:style w:type="paragraph" w:styleId="TableofFigures">
    <w:name w:val="table of figures"/>
    <w:basedOn w:val="Normal"/>
    <w:next w:val="Normal"/>
    <w:semiHidden/>
    <w:rsid w:val="008C6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3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3AC"/>
    <w:rPr>
      <w:rFonts w:ascii="Wingdings" w:hAnsi="Wingdings"/>
    </w:rPr>
  </w:style>
  <w:style w:type="paragraph" w:customStyle="1" w:styleId="TableHeading">
    <w:name w:val="Table Heading"/>
    <w:basedOn w:val="HeadingBase"/>
    <w:rsid w:val="008C6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3AC"/>
    <w:rPr>
      <w:color w:val="0033CC"/>
      <w:u w:val="none"/>
    </w:rPr>
  </w:style>
  <w:style w:type="paragraph" w:customStyle="1" w:styleId="BodyTextRight">
    <w:name w:val="Body Text Right"/>
    <w:basedOn w:val="BodyText"/>
    <w:rsid w:val="008C6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3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3AC"/>
    <w:rPr>
      <w:sz w:val="32"/>
    </w:rPr>
  </w:style>
  <w:style w:type="paragraph" w:customStyle="1" w:styleId="HeadingProcedure">
    <w:name w:val="Heading Procedure"/>
    <w:basedOn w:val="HeadingBase"/>
    <w:next w:val="Normal"/>
    <w:rsid w:val="008C6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3AC"/>
    <w:pPr>
      <w:spacing w:before="60" w:after="60"/>
    </w:pPr>
  </w:style>
  <w:style w:type="paragraph" w:styleId="ListContinue">
    <w:name w:val="List Continue"/>
    <w:basedOn w:val="List"/>
    <w:rsid w:val="008C63AC"/>
    <w:pPr>
      <w:ind w:firstLine="0"/>
    </w:pPr>
  </w:style>
  <w:style w:type="paragraph" w:customStyle="1" w:styleId="ListNote">
    <w:name w:val="List Note"/>
    <w:basedOn w:val="List"/>
    <w:rsid w:val="008C6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3AC"/>
    <w:rPr>
      <w:rFonts w:ascii="Courier New" w:hAnsi="Courier New"/>
    </w:rPr>
  </w:style>
  <w:style w:type="paragraph" w:customStyle="1" w:styleId="NoteBullet">
    <w:name w:val="Note Bullet"/>
    <w:basedOn w:val="Note"/>
    <w:rsid w:val="008C6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3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3AC"/>
    <w:rPr>
      <w:b/>
      <w:smallCaps/>
    </w:rPr>
  </w:style>
  <w:style w:type="paragraph" w:customStyle="1" w:styleId="TableListNumber">
    <w:name w:val="Table List Number"/>
    <w:basedOn w:val="ListNumber"/>
    <w:rsid w:val="008C6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3AC"/>
    <w:pPr>
      <w:numPr>
        <w:numId w:val="9"/>
      </w:numPr>
    </w:pPr>
  </w:style>
  <w:style w:type="paragraph" w:customStyle="1" w:styleId="ListAlpha2">
    <w:name w:val="List Alpha 2"/>
    <w:basedOn w:val="List2"/>
    <w:rsid w:val="008C63AC"/>
    <w:pPr>
      <w:numPr>
        <w:numId w:val="8"/>
      </w:numPr>
    </w:pPr>
  </w:style>
  <w:style w:type="paragraph" w:styleId="List2">
    <w:name w:val="List 2"/>
    <w:basedOn w:val="BodyText"/>
    <w:rsid w:val="008C6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3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3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3AC"/>
    <w:pPr>
      <w:numPr>
        <w:numId w:val="4"/>
      </w:numPr>
    </w:pPr>
  </w:style>
  <w:style w:type="paragraph" w:styleId="ListContinue2">
    <w:name w:val="List Continue 2"/>
    <w:basedOn w:val="List2"/>
    <w:rsid w:val="008C63AC"/>
    <w:pPr>
      <w:ind w:firstLine="0"/>
    </w:pPr>
  </w:style>
  <w:style w:type="paragraph" w:styleId="ListContinue3">
    <w:name w:val="List Continue 3"/>
    <w:basedOn w:val="List3"/>
    <w:rsid w:val="008C63AC"/>
    <w:pPr>
      <w:ind w:left="1021" w:firstLine="0"/>
    </w:pPr>
  </w:style>
  <w:style w:type="paragraph" w:styleId="ListContinue4">
    <w:name w:val="List Continue 4"/>
    <w:basedOn w:val="List4"/>
    <w:rsid w:val="008C63AC"/>
    <w:pPr>
      <w:ind w:firstLine="0"/>
    </w:pPr>
  </w:style>
  <w:style w:type="paragraph" w:styleId="ListContinue5">
    <w:name w:val="List Continue 5"/>
    <w:basedOn w:val="List5"/>
    <w:rsid w:val="008C63AC"/>
    <w:pPr>
      <w:ind w:firstLine="0"/>
    </w:pPr>
  </w:style>
  <w:style w:type="paragraph" w:styleId="ListNumber3">
    <w:name w:val="List Number 3"/>
    <w:basedOn w:val="List3"/>
    <w:rsid w:val="008C63AC"/>
    <w:pPr>
      <w:numPr>
        <w:numId w:val="5"/>
      </w:numPr>
    </w:pPr>
  </w:style>
  <w:style w:type="paragraph" w:styleId="ListNumber4">
    <w:name w:val="List Number 4"/>
    <w:basedOn w:val="List4"/>
    <w:rsid w:val="008C63AC"/>
    <w:pPr>
      <w:numPr>
        <w:numId w:val="6"/>
      </w:numPr>
    </w:pPr>
  </w:style>
  <w:style w:type="paragraph" w:styleId="ListNumber5">
    <w:name w:val="List Number 5"/>
    <w:basedOn w:val="List5"/>
    <w:rsid w:val="008C63AC"/>
    <w:pPr>
      <w:numPr>
        <w:numId w:val="7"/>
      </w:numPr>
    </w:pPr>
  </w:style>
  <w:style w:type="paragraph" w:styleId="BlockText">
    <w:name w:val="Block Text"/>
    <w:basedOn w:val="Normal"/>
    <w:rsid w:val="008C6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3AC"/>
    <w:rPr>
      <w:sz w:val="16"/>
      <w:vertAlign w:val="superscript"/>
    </w:rPr>
  </w:style>
  <w:style w:type="character" w:customStyle="1" w:styleId="Symbols">
    <w:name w:val="Symbols"/>
    <w:basedOn w:val="DefaultParagraphFont"/>
    <w:rsid w:val="008C63AC"/>
    <w:rPr>
      <w:rFonts w:ascii="Symbol" w:hAnsi="Symbol"/>
    </w:rPr>
  </w:style>
  <w:style w:type="character" w:customStyle="1" w:styleId="MenuOptions">
    <w:name w:val="Menu Options"/>
    <w:basedOn w:val="DefaultParagraphFont"/>
    <w:rsid w:val="008C6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3AC"/>
    <w:rPr>
      <w:b/>
    </w:rPr>
  </w:style>
  <w:style w:type="character" w:customStyle="1" w:styleId="Underlined">
    <w:name w:val="Underlined"/>
    <w:basedOn w:val="DefaultParagraphFont"/>
    <w:rsid w:val="008C63AC"/>
    <w:rPr>
      <w:u w:val="single"/>
    </w:rPr>
  </w:style>
  <w:style w:type="paragraph" w:customStyle="1" w:styleId="TableBodyTextRight">
    <w:name w:val="Table Body Text Right"/>
    <w:basedOn w:val="TableBodyText"/>
    <w:rsid w:val="008C6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3AC"/>
    <w:rPr>
      <w:sz w:val="18"/>
    </w:rPr>
  </w:style>
  <w:style w:type="paragraph" w:customStyle="1" w:styleId="BodySmallRight">
    <w:name w:val="Body Small Right"/>
    <w:basedOn w:val="BodyTextRight"/>
    <w:rsid w:val="008C63AC"/>
    <w:rPr>
      <w:sz w:val="18"/>
      <w:szCs w:val="18"/>
    </w:rPr>
  </w:style>
  <w:style w:type="paragraph" w:customStyle="1" w:styleId="MarginEdition">
    <w:name w:val="Margin Edition"/>
    <w:basedOn w:val="MarginNote"/>
    <w:rsid w:val="008C6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3AC"/>
    <w:rPr>
      <w:sz w:val="2"/>
      <w:szCs w:val="2"/>
    </w:rPr>
  </w:style>
  <w:style w:type="character" w:customStyle="1" w:styleId="Small">
    <w:name w:val="Small"/>
    <w:basedOn w:val="DefaultParagraphFont"/>
    <w:rsid w:val="008C63AC"/>
    <w:rPr>
      <w:sz w:val="16"/>
    </w:rPr>
  </w:style>
  <w:style w:type="paragraph" w:customStyle="1" w:styleId="WideTable">
    <w:name w:val="Wide Table"/>
    <w:basedOn w:val="Normal"/>
    <w:rsid w:val="008C6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3AC"/>
  </w:style>
  <w:style w:type="paragraph" w:styleId="Quote">
    <w:name w:val="Quote"/>
    <w:basedOn w:val="Heading1"/>
    <w:link w:val="QuoteChar"/>
    <w:qFormat/>
    <w:rsid w:val="008C6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3AC"/>
    <w:pPr>
      <w:pageBreakBefore/>
    </w:pPr>
  </w:style>
  <w:style w:type="paragraph" w:customStyle="1" w:styleId="Border">
    <w:name w:val="Border"/>
    <w:basedOn w:val="Normal"/>
    <w:qFormat/>
    <w:rsid w:val="008C6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3AC"/>
    <w:rPr>
      <w:u w:val="single"/>
    </w:rPr>
  </w:style>
  <w:style w:type="character" w:customStyle="1" w:styleId="BoldandItalics">
    <w:name w:val="Bold and Italics"/>
    <w:qFormat/>
    <w:rsid w:val="008C63AC"/>
    <w:rPr>
      <w:b/>
      <w:i/>
      <w:u w:val="none"/>
    </w:rPr>
  </w:style>
  <w:style w:type="paragraph" w:styleId="BalloonText">
    <w:name w:val="Balloon Text"/>
    <w:basedOn w:val="Normal"/>
    <w:link w:val="BalloonTextChar"/>
    <w:rsid w:val="008C6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3AC"/>
    <w:pPr>
      <w:spacing w:before="0" w:after="0"/>
    </w:pPr>
  </w:style>
  <w:style w:type="paragraph" w:customStyle="1" w:styleId="BodyTextBold">
    <w:name w:val="Body Text Bold"/>
    <w:basedOn w:val="BodyText"/>
    <w:qFormat/>
    <w:rsid w:val="008C63AC"/>
    <w:rPr>
      <w:b/>
    </w:rPr>
  </w:style>
  <w:style w:type="character" w:styleId="Hyperlink">
    <w:name w:val="Hyperlink"/>
    <w:basedOn w:val="DefaultParagraphFont"/>
    <w:uiPriority w:val="99"/>
    <w:unhideWhenUsed/>
    <w:rsid w:val="005C2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552</Words>
  <Characters>3594</Characters>
  <Application>Microsoft Office Word</Application>
  <DocSecurity>0</DocSecurity>
  <Lines>199</Lines>
  <Paragraphs>109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MSL974017 Prepare, standardise and use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2023-01-25T11:53:00Z</dcterms:created>
  <dcterms:modified xsi:type="dcterms:W3CDTF">2023-01-25T11:54:00Z</dcterms:modified>
</cp:coreProperties>
</file>