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E35" w:rsidP="007B6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MSL974017 Prepare, standardise and use solutions</w:t>
      </w:r>
      <w:r>
        <w:fldChar w:fldCharType="end"/>
      </w:r>
    </w:p>
    <w:p w:rsidR="007B6E35" w:rsidP="007B6E35">
      <w:pPr>
        <w:pStyle w:val="Version"/>
        <w:sectPr w:rsidSect="00776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835" w:rsidP="00776835">
      <w:pPr>
        <w:pStyle w:val="SuperHeading"/>
      </w:pPr>
      <w:r w:rsidRPr="00776835">
        <w:t>Assessment Requirements for MSL974017 Prepare, standardise and use solutions</w:t>
      </w:r>
    </w:p>
    <w:p w:rsidR="00000000" w:rsidRPr="00776835" w:rsidP="00776835">
      <w:pPr>
        <w:pStyle w:val="Heading1"/>
      </w:pPr>
      <w:bookmarkStart w:id="1" w:name="O_986463"/>
      <w:bookmarkEnd w:id="1"/>
      <w:r w:rsidRPr="007768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776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76835" w:rsidP="00776835">
            <w:pPr>
              <w:pStyle w:val="BodyText"/>
            </w:pPr>
            <w:r w:rsidRPr="0077683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76835">
            <w:pPr>
              <w:pStyle w:val="BodyText"/>
              <w:rPr>
                <w:lang w:val="en-NZ"/>
              </w:rPr>
            </w:pPr>
            <w:r w:rsidRPr="00776835">
              <w:rPr>
                <w:rStyle w:val="SpecialBold"/>
              </w:rPr>
              <w:t>Comments</w:t>
            </w:r>
          </w:p>
        </w:tc>
      </w:tr>
      <w:tr w:rsidTr="007768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835">
            <w:pPr>
              <w:pStyle w:val="BodyText"/>
              <w:rPr>
                <w:lang w:val="en-NZ"/>
              </w:rPr>
            </w:pPr>
            <w:r w:rsidRPr="0077683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835" w:rsidP="00776835">
            <w:pPr>
              <w:pStyle w:val="BodyText"/>
            </w:pPr>
            <w:r w:rsidRPr="00776835">
              <w:t xml:space="preserve">This version was released in </w:t>
            </w:r>
            <w:r w:rsidRPr="00776835">
              <w:rPr>
                <w:rStyle w:val="Emphasis"/>
              </w:rPr>
              <w:t>MSL Laboratory Operations Training Package Release 2.0.</w:t>
            </w:r>
          </w:p>
          <w:p w:rsidR="00000000" w:rsidRPr="00776835" w:rsidP="00776835">
            <w:pPr>
              <w:pStyle w:val="BodyText"/>
            </w:pPr>
            <w:r w:rsidRPr="00776835">
              <w:t>Supersedes and equivalent to MSL974001 Prepare, standardise and use solutions. Foundation skill information added. Range of conditions removed. Assessment requirements amended.</w:t>
            </w:r>
          </w:p>
        </w:tc>
      </w:tr>
    </w:tbl>
    <w:p w:rsidR="00000000" w:rsidRPr="00776835" w:rsidP="00776835">
      <w:pPr>
        <w:pStyle w:val="BodyText"/>
      </w:pPr>
    </w:p>
    <w:p w:rsidR="00000000" w:rsidRPr="00776835" w:rsidP="00776835">
      <w:pPr>
        <w:pStyle w:val="AllowPageBreak"/>
      </w:pPr>
    </w:p>
    <w:p w:rsidR="00000000" w:rsidRPr="00776835" w:rsidP="00776835">
      <w:pPr>
        <w:pStyle w:val="Heading1"/>
      </w:pPr>
      <w:bookmarkStart w:id="2" w:name="O_986466"/>
      <w:bookmarkEnd w:id="2"/>
      <w:r w:rsidRPr="00776835">
        <w:t>Performance Evidence</w:t>
      </w:r>
    </w:p>
    <w:p w:rsidR="00000000" w:rsidRPr="00776835" w:rsidP="007B6E35">
      <w:pPr>
        <w:pStyle w:val="BodyText"/>
      </w:pPr>
      <w:r w:rsidRPr="00776835">
        <w:t>There must be evidence the candidate ha</w:t>
      </w:r>
      <w:r w:rsidRPr="00776835">
        <w:t>s completed the tasks outlined in the elements and performance criteria of this unit, and:</w:t>
      </w:r>
    </w:p>
    <w:p w:rsidR="00000000" w:rsidRPr="00776835" w:rsidP="00776835">
      <w:pPr>
        <w:pStyle w:val="ListBullet"/>
      </w:pPr>
      <w:r w:rsidRPr="00776835">
        <w:t>prepared and effectively standardised at least 3 different solutions in accordance workplace procedures and/or standard methods</w:t>
      </w:r>
    </w:p>
    <w:p w:rsidR="00000000" w:rsidRPr="00776835" w:rsidP="00776835">
      <w:pPr>
        <w:pStyle w:val="ListBullet"/>
      </w:pPr>
      <w:r w:rsidRPr="00776835">
        <w:t>selected and used primary and secondary standards and indicators</w:t>
      </w:r>
    </w:p>
    <w:p w:rsidR="00000000" w:rsidRPr="00776835" w:rsidP="00776835">
      <w:pPr>
        <w:pStyle w:val="ListBullet"/>
      </w:pPr>
      <w:r w:rsidRPr="00776835">
        <w:t>determined equivalence points using indicators and graphical methods.</w:t>
      </w:r>
    </w:p>
    <w:p w:rsidR="00000000" w:rsidRPr="00776835" w:rsidP="00776835">
      <w:pPr>
        <w:pStyle w:val="AllowPageBreak"/>
      </w:pPr>
    </w:p>
    <w:p w:rsidR="00000000" w:rsidRPr="00776835" w:rsidP="00776835">
      <w:pPr>
        <w:pStyle w:val="Heading1"/>
      </w:pPr>
      <w:bookmarkStart w:id="3" w:name="O_986465"/>
      <w:bookmarkEnd w:id="3"/>
      <w:r w:rsidRPr="00776835">
        <w:t>Knowledge Evidence</w:t>
      </w:r>
    </w:p>
    <w:p w:rsidR="00000000" w:rsidRPr="00776835" w:rsidP="007B6E35">
      <w:pPr>
        <w:pStyle w:val="BodyText"/>
      </w:pPr>
      <w:r w:rsidRPr="00776835">
        <w:t>There must be evidence the candidate has knowledge of:</w:t>
      </w:r>
    </w:p>
    <w:p w:rsidR="00000000" w:rsidRPr="00776835" w:rsidP="00776835">
      <w:pPr>
        <w:pStyle w:val="ListBullet"/>
      </w:pPr>
      <w:r w:rsidRPr="00776835">
        <w:t>concepts of metrology, includ</w:t>
      </w:r>
      <w:r w:rsidRPr="00776835">
        <w:t>ing:</w:t>
      </w:r>
    </w:p>
    <w:p w:rsidR="00000000" w:rsidRPr="00776835" w:rsidP="00776835">
      <w:pPr>
        <w:pStyle w:val="ListBullet2"/>
      </w:pPr>
      <w:r w:rsidRPr="00776835">
        <w:t>all measurements are estimates</w:t>
      </w:r>
    </w:p>
    <w:p w:rsidR="00000000" w:rsidRPr="00776835" w:rsidP="00776835">
      <w:pPr>
        <w:pStyle w:val="ListBullet2"/>
      </w:pPr>
      <w:r w:rsidRPr="00776835">
        <w:t>precision, accuracy and significant figures</w:t>
      </w:r>
    </w:p>
    <w:p w:rsidR="00000000" w:rsidRPr="00776835" w:rsidP="00776835">
      <w:pPr>
        <w:pStyle w:val="ListBullet2"/>
      </w:pPr>
      <w:r w:rsidRPr="00776835">
        <w:t>sources of error, uncertainty and repeatability</w:t>
      </w:r>
    </w:p>
    <w:p w:rsidR="00000000" w:rsidRPr="00776835" w:rsidP="00776835">
      <w:pPr>
        <w:pStyle w:val="ListBullet2"/>
      </w:pPr>
      <w:r w:rsidRPr="00776835">
        <w:t>traceability</w:t>
      </w:r>
    </w:p>
    <w:p w:rsidR="00000000" w:rsidRPr="00776835" w:rsidP="00776835">
      <w:pPr>
        <w:pStyle w:val="ListBullet"/>
      </w:pPr>
      <w:r w:rsidRPr="00776835">
        <w:t>scientific terminology for different types of solutions</w:t>
      </w:r>
    </w:p>
    <w:p w:rsidR="00000000" w:rsidRPr="00776835" w:rsidP="00776835">
      <w:pPr>
        <w:pStyle w:val="ListBullet"/>
      </w:pPr>
      <w:r w:rsidRPr="00776835">
        <w:t>the chemistry of acids, bases, buffers and redox reaction</w:t>
      </w:r>
      <w:r w:rsidRPr="00776835">
        <w:t>s</w:t>
      </w:r>
    </w:p>
    <w:p w:rsidR="00000000" w:rsidRPr="00776835" w:rsidP="00776835">
      <w:pPr>
        <w:pStyle w:val="ListBullet"/>
      </w:pPr>
      <w:r w:rsidRPr="00776835">
        <w:t>chemical symbols and atomic mass</w:t>
      </w:r>
    </w:p>
    <w:p w:rsidR="00000000" w:rsidRPr="00776835" w:rsidP="00776835">
      <w:pPr>
        <w:pStyle w:val="ListBullet"/>
      </w:pPr>
      <w:r w:rsidRPr="00776835">
        <w:t>formulae for calculating concentration % w/w, % w/v, % v/v, ppm (mg/L)</w:t>
      </w:r>
    </w:p>
    <w:p w:rsidR="00000000" w:rsidRPr="00776835" w:rsidP="00776835">
      <w:pPr>
        <w:pStyle w:val="ListBullet"/>
      </w:pPr>
      <w:r w:rsidRPr="00776835">
        <w:t>moles and molarity</w:t>
      </w:r>
    </w:p>
    <w:p w:rsidR="00000000" w:rsidRPr="00776835" w:rsidP="00776835">
      <w:pPr>
        <w:pStyle w:val="ListBullet"/>
      </w:pPr>
      <w:r w:rsidRPr="00776835">
        <w:t xml:space="preserve">what affects solubility </w:t>
      </w:r>
    </w:p>
    <w:p w:rsidR="00000000" w:rsidRPr="00776835" w:rsidP="00776835">
      <w:pPr>
        <w:pStyle w:val="ListBullet"/>
      </w:pPr>
      <w:r w:rsidRPr="00776835">
        <w:t xml:space="preserve">reactions used for standardisation and desirable characteristics </w:t>
      </w:r>
    </w:p>
    <w:p w:rsidR="00000000" w:rsidRPr="00776835" w:rsidP="00776835">
      <w:pPr>
        <w:pStyle w:val="ListBullet"/>
      </w:pPr>
      <w:r w:rsidRPr="00776835">
        <w:t>function and use of basic laboratory equipment</w:t>
      </w:r>
    </w:p>
    <w:p w:rsidR="00000000" w:rsidRPr="00776835" w:rsidP="00776835">
      <w:pPr>
        <w:pStyle w:val="ListBullet"/>
      </w:pPr>
      <w:r w:rsidRPr="00776835">
        <w:t>grades of glassware, reagents and their use</w:t>
      </w:r>
    </w:p>
    <w:p w:rsidR="00000000" w:rsidRPr="00776835" w:rsidP="00776835">
      <w:pPr>
        <w:pStyle w:val="ListBullet"/>
      </w:pPr>
      <w:r w:rsidRPr="00776835">
        <w:t>established safe work practices:</w:t>
      </w:r>
    </w:p>
    <w:p w:rsidR="00000000" w:rsidRPr="00776835" w:rsidP="00776835">
      <w:pPr>
        <w:pStyle w:val="ListBullet2"/>
      </w:pPr>
      <w:r w:rsidRPr="00776835">
        <w:t>use of PPE, such as safety glasses, gloves and coveralls</w:t>
      </w:r>
    </w:p>
    <w:p w:rsidR="00000000" w:rsidRPr="00776835" w:rsidP="00776835">
      <w:pPr>
        <w:pStyle w:val="ListBullet2"/>
      </w:pPr>
      <w:r w:rsidRPr="00776835">
        <w:t>correctly labelling reagents and hazardous materials</w:t>
      </w:r>
    </w:p>
    <w:p w:rsidR="00000000" w:rsidRPr="00776835" w:rsidP="00776835">
      <w:pPr>
        <w:pStyle w:val="ListBullet2"/>
      </w:pPr>
      <w:r w:rsidRPr="00776835">
        <w:t xml:space="preserve">handling and storing </w:t>
      </w:r>
      <w:r w:rsidRPr="00776835">
        <w:t>hazardous material and equipment in accordance with labels, SDS, manufacturer instructions, and workplace procedures and regulations</w:t>
      </w:r>
    </w:p>
    <w:p w:rsidR="00000000" w:rsidRPr="00776835" w:rsidP="00776835">
      <w:pPr>
        <w:pStyle w:val="ListBullet2"/>
      </w:pPr>
      <w:r w:rsidRPr="00776835">
        <w:t>regular cleaning and/or decontamination of equipment and work areas</w:t>
      </w:r>
    </w:p>
    <w:p w:rsidR="00000000" w:rsidRPr="00776835" w:rsidP="00776835">
      <w:pPr>
        <w:pStyle w:val="ListBullet2"/>
      </w:pPr>
      <w:r w:rsidRPr="00776835">
        <w:t>prompt clean-up of spills in accordance workplace proce</w:t>
      </w:r>
      <w:r w:rsidRPr="00776835">
        <w:t>dures</w:t>
      </w:r>
    </w:p>
    <w:p w:rsidR="00000000" w:rsidRPr="00776835" w:rsidP="00776835">
      <w:pPr>
        <w:pStyle w:val="ListBullet"/>
      </w:pPr>
      <w:r w:rsidRPr="00776835">
        <w:t>awareness of environmental sustainability issues as they relate to the work task</w:t>
      </w:r>
    </w:p>
    <w:p w:rsidR="00000000" w:rsidRPr="00776835" w:rsidP="00776835">
      <w:pPr>
        <w:pStyle w:val="ListBullet"/>
      </w:pPr>
      <w:r w:rsidRPr="00776835">
        <w:t xml:space="preserve">legal, ethical and work health and safety (WHS) requirements specific to the work task. </w:t>
      </w:r>
    </w:p>
    <w:p w:rsidR="00000000" w:rsidRPr="00776835" w:rsidP="00776835">
      <w:pPr>
        <w:pStyle w:val="AllowPageBreak"/>
      </w:pPr>
    </w:p>
    <w:p w:rsidR="00000000" w:rsidRPr="00776835" w:rsidP="00776835">
      <w:pPr>
        <w:pStyle w:val="Heading1"/>
      </w:pPr>
      <w:bookmarkStart w:id="4" w:name="O_986464"/>
      <w:bookmarkEnd w:id="4"/>
      <w:r w:rsidRPr="00776835">
        <w:t>Assessment Conditions</w:t>
      </w:r>
    </w:p>
    <w:p w:rsidR="00000000" w:rsidRPr="00776835" w:rsidP="007B6E35">
      <w:pPr>
        <w:pStyle w:val="BodyText"/>
      </w:pPr>
      <w:r w:rsidRPr="0077683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76835" w:rsidP="00776835">
      <w:pPr>
        <w:pStyle w:val="ListBullet"/>
      </w:pPr>
      <w:r w:rsidRPr="00776835">
        <w:t xml:space="preserve">use of suitable facilities, equipment and resources, including: </w:t>
      </w:r>
    </w:p>
    <w:p w:rsidR="00000000" w:rsidRPr="00776835" w:rsidP="00776835">
      <w:pPr>
        <w:pStyle w:val="ListBullet2"/>
      </w:pPr>
      <w:r w:rsidRPr="00776835">
        <w:t>a standard laboratory equipped with appropriate reagents and equipment to prepare and standardise solutions, such as pH meters; balances; magnetic stirrers, water baths and hot plates; measuring cylinders, beakers, conical flasks, volumetric flasks, pipett</w:t>
      </w:r>
      <w:r w:rsidRPr="00776835">
        <w:t>es and burettes; filter papers and funnels; and fume cupboards</w:t>
      </w:r>
    </w:p>
    <w:p w:rsidR="00000000" w:rsidRPr="00776835" w:rsidP="00776835">
      <w:pPr>
        <w:pStyle w:val="ListBullet2"/>
      </w:pPr>
      <w:r w:rsidRPr="00776835">
        <w:t>standard methods and workplace procedures</w:t>
      </w:r>
    </w:p>
    <w:p w:rsidR="00000000" w:rsidRPr="00776835" w:rsidP="00776835">
      <w:pPr>
        <w:pStyle w:val="ListBullet2"/>
      </w:pPr>
      <w:r w:rsidRPr="00776835">
        <w:t>containers and storage facilities.</w:t>
      </w:r>
    </w:p>
    <w:p w:rsidR="00000000" w:rsidRPr="00776835" w:rsidP="007B6E35">
      <w:pPr>
        <w:pStyle w:val="BodyText"/>
      </w:pPr>
      <w:r w:rsidRPr="00776835">
        <w:br/>
        <w:t>Assessors must satisfy the NVR/AQTF mandatory competency requirements for assessors.</w:t>
      </w:r>
    </w:p>
    <w:p w:rsidR="00000000" w:rsidRPr="00776835" w:rsidP="00776835">
      <w:pPr>
        <w:pStyle w:val="AllowPageBreak"/>
      </w:pPr>
    </w:p>
    <w:p w:rsidR="00000000" w:rsidRPr="00776835" w:rsidP="00776835">
      <w:pPr>
        <w:pStyle w:val="Heading1"/>
      </w:pPr>
      <w:bookmarkStart w:id="5" w:name="O_986462"/>
      <w:bookmarkEnd w:id="5"/>
      <w:r w:rsidRPr="00776835">
        <w:t>Links</w:t>
      </w:r>
    </w:p>
    <w:p w:rsidR="00000000" w:rsidRPr="00776835" w:rsidP="007B6E35">
      <w:pPr>
        <w:pStyle w:val="BodyText"/>
      </w:pPr>
      <w:r w:rsidRPr="00776835">
        <w:t>MSL Lab</w:t>
      </w:r>
      <w:r w:rsidRPr="00776835">
        <w:t xml:space="preserve">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D7F1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776835" w:rsidP="00776835"/>
    <w:sectPr w:rsidSect="007768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35" w:rsidRPr="007B6E35" w:rsidP="007B6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35" w:rsidP="00776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E35" w:rsidP="00776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6E35" w:rsidP="00776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835" w:rsidRPr="007B6E35" w:rsidP="007B6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35" w:rsidRPr="002D2AF8" w:rsidP="00776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MSL974017 Prepare, standardise and use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7B6E35" w:rsidP="00776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07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64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BAD3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835"/>
  </w:style>
  <w:style w:type="character" w:customStyle="1" w:styleId="Heading1Char">
    <w:name w:val="Heading 1 Char"/>
    <w:basedOn w:val="DefaultParagraphFont"/>
    <w:link w:val="Heading1"/>
    <w:rsid w:val="00776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8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8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8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835"/>
    <w:rPr>
      <w:b/>
      <w:spacing w:val="0"/>
    </w:rPr>
  </w:style>
  <w:style w:type="paragraph" w:styleId="ListBullet2">
    <w:name w:val="List Bullet 2"/>
    <w:basedOn w:val="List2"/>
    <w:rsid w:val="0077683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6835"/>
    <w:rPr>
      <w:i/>
    </w:rPr>
  </w:style>
  <w:style w:type="paragraph" w:customStyle="1" w:styleId="SuperHeading">
    <w:name w:val="SuperHeading"/>
    <w:basedOn w:val="Normal"/>
    <w:rsid w:val="00776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8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8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6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835"/>
  </w:style>
  <w:style w:type="paragraph" w:styleId="TableofFigures">
    <w:name w:val="table of figures"/>
    <w:basedOn w:val="Normal"/>
    <w:next w:val="Normal"/>
    <w:semiHidden/>
    <w:rsid w:val="00776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8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835"/>
    <w:rPr>
      <w:rFonts w:ascii="Wingdings" w:hAnsi="Wingdings"/>
    </w:rPr>
  </w:style>
  <w:style w:type="paragraph" w:customStyle="1" w:styleId="TableHeading">
    <w:name w:val="Table Heading"/>
    <w:basedOn w:val="HeadingBase"/>
    <w:rsid w:val="00776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835"/>
    <w:rPr>
      <w:color w:val="0033CC"/>
      <w:u w:val="none"/>
    </w:rPr>
  </w:style>
  <w:style w:type="paragraph" w:customStyle="1" w:styleId="BodyTextRight">
    <w:name w:val="Body Text Right"/>
    <w:basedOn w:val="BodyText"/>
    <w:rsid w:val="00776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8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835"/>
    <w:rPr>
      <w:sz w:val="32"/>
    </w:rPr>
  </w:style>
  <w:style w:type="paragraph" w:customStyle="1" w:styleId="HeadingProcedure">
    <w:name w:val="Heading Procedure"/>
    <w:basedOn w:val="HeadingBase"/>
    <w:next w:val="Normal"/>
    <w:rsid w:val="00776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835"/>
    <w:pPr>
      <w:spacing w:before="60" w:after="60"/>
    </w:pPr>
  </w:style>
  <w:style w:type="paragraph" w:styleId="ListContinue">
    <w:name w:val="List Continue"/>
    <w:basedOn w:val="List"/>
    <w:rsid w:val="00776835"/>
    <w:pPr>
      <w:ind w:firstLine="0"/>
    </w:pPr>
  </w:style>
  <w:style w:type="paragraph" w:customStyle="1" w:styleId="ListNote">
    <w:name w:val="List Note"/>
    <w:basedOn w:val="List"/>
    <w:rsid w:val="00776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835"/>
    <w:rPr>
      <w:rFonts w:ascii="Courier New" w:hAnsi="Courier New"/>
    </w:rPr>
  </w:style>
  <w:style w:type="paragraph" w:customStyle="1" w:styleId="NoteBullet">
    <w:name w:val="Note Bullet"/>
    <w:basedOn w:val="Note"/>
    <w:rsid w:val="00776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8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835"/>
    <w:rPr>
      <w:b/>
      <w:smallCaps/>
    </w:rPr>
  </w:style>
  <w:style w:type="paragraph" w:customStyle="1" w:styleId="TableListNumber">
    <w:name w:val="Table List Number"/>
    <w:basedOn w:val="ListNumber"/>
    <w:rsid w:val="00776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835"/>
    <w:pPr>
      <w:numPr>
        <w:numId w:val="9"/>
      </w:numPr>
    </w:pPr>
  </w:style>
  <w:style w:type="paragraph" w:customStyle="1" w:styleId="ListAlpha2">
    <w:name w:val="List Alpha 2"/>
    <w:basedOn w:val="List2"/>
    <w:rsid w:val="00776835"/>
    <w:pPr>
      <w:numPr>
        <w:numId w:val="8"/>
      </w:numPr>
    </w:pPr>
  </w:style>
  <w:style w:type="paragraph" w:styleId="List2">
    <w:name w:val="List 2"/>
    <w:basedOn w:val="BodyText"/>
    <w:rsid w:val="00776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8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8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835"/>
    <w:pPr>
      <w:numPr>
        <w:numId w:val="4"/>
      </w:numPr>
    </w:pPr>
  </w:style>
  <w:style w:type="paragraph" w:styleId="ListContinue2">
    <w:name w:val="List Continue 2"/>
    <w:basedOn w:val="List2"/>
    <w:rsid w:val="00776835"/>
    <w:pPr>
      <w:ind w:firstLine="0"/>
    </w:pPr>
  </w:style>
  <w:style w:type="paragraph" w:styleId="ListContinue3">
    <w:name w:val="List Continue 3"/>
    <w:basedOn w:val="List3"/>
    <w:rsid w:val="00776835"/>
    <w:pPr>
      <w:ind w:left="1021" w:firstLine="0"/>
    </w:pPr>
  </w:style>
  <w:style w:type="paragraph" w:styleId="ListContinue4">
    <w:name w:val="List Continue 4"/>
    <w:basedOn w:val="List4"/>
    <w:rsid w:val="00776835"/>
    <w:pPr>
      <w:ind w:firstLine="0"/>
    </w:pPr>
  </w:style>
  <w:style w:type="paragraph" w:styleId="ListContinue5">
    <w:name w:val="List Continue 5"/>
    <w:basedOn w:val="List5"/>
    <w:rsid w:val="00776835"/>
    <w:pPr>
      <w:ind w:firstLine="0"/>
    </w:pPr>
  </w:style>
  <w:style w:type="paragraph" w:styleId="ListNumber3">
    <w:name w:val="List Number 3"/>
    <w:basedOn w:val="List3"/>
    <w:rsid w:val="00776835"/>
    <w:pPr>
      <w:numPr>
        <w:numId w:val="5"/>
      </w:numPr>
    </w:pPr>
  </w:style>
  <w:style w:type="paragraph" w:styleId="ListNumber4">
    <w:name w:val="List Number 4"/>
    <w:basedOn w:val="List4"/>
    <w:rsid w:val="00776835"/>
    <w:pPr>
      <w:numPr>
        <w:numId w:val="6"/>
      </w:numPr>
    </w:pPr>
  </w:style>
  <w:style w:type="paragraph" w:styleId="ListNumber5">
    <w:name w:val="List Number 5"/>
    <w:basedOn w:val="List5"/>
    <w:rsid w:val="00776835"/>
    <w:pPr>
      <w:numPr>
        <w:numId w:val="7"/>
      </w:numPr>
    </w:pPr>
  </w:style>
  <w:style w:type="paragraph" w:styleId="BlockText">
    <w:name w:val="Block Text"/>
    <w:basedOn w:val="Normal"/>
    <w:rsid w:val="00776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835"/>
    <w:rPr>
      <w:sz w:val="16"/>
      <w:vertAlign w:val="superscript"/>
    </w:rPr>
  </w:style>
  <w:style w:type="character" w:customStyle="1" w:styleId="Symbols">
    <w:name w:val="Symbols"/>
    <w:basedOn w:val="DefaultParagraphFont"/>
    <w:rsid w:val="00776835"/>
    <w:rPr>
      <w:rFonts w:ascii="Symbol" w:hAnsi="Symbol"/>
    </w:rPr>
  </w:style>
  <w:style w:type="character" w:customStyle="1" w:styleId="MenuOptions">
    <w:name w:val="Menu Options"/>
    <w:basedOn w:val="DefaultParagraphFont"/>
    <w:rsid w:val="00776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835"/>
    <w:rPr>
      <w:b/>
    </w:rPr>
  </w:style>
  <w:style w:type="character" w:customStyle="1" w:styleId="Underlined">
    <w:name w:val="Underlined"/>
    <w:basedOn w:val="DefaultParagraphFont"/>
    <w:rsid w:val="00776835"/>
    <w:rPr>
      <w:u w:val="single"/>
    </w:rPr>
  </w:style>
  <w:style w:type="paragraph" w:customStyle="1" w:styleId="TableBodyTextRight">
    <w:name w:val="Table Body Text Right"/>
    <w:basedOn w:val="TableBodyText"/>
    <w:rsid w:val="00776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835"/>
    <w:rPr>
      <w:sz w:val="18"/>
    </w:rPr>
  </w:style>
  <w:style w:type="paragraph" w:customStyle="1" w:styleId="BodySmallRight">
    <w:name w:val="Body Small Right"/>
    <w:basedOn w:val="BodyTextRight"/>
    <w:rsid w:val="00776835"/>
    <w:rPr>
      <w:sz w:val="18"/>
      <w:szCs w:val="18"/>
    </w:rPr>
  </w:style>
  <w:style w:type="paragraph" w:customStyle="1" w:styleId="MarginEdition">
    <w:name w:val="Margin Edition"/>
    <w:basedOn w:val="MarginNote"/>
    <w:rsid w:val="00776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835"/>
    <w:rPr>
      <w:sz w:val="2"/>
      <w:szCs w:val="2"/>
    </w:rPr>
  </w:style>
  <w:style w:type="character" w:customStyle="1" w:styleId="Small">
    <w:name w:val="Small"/>
    <w:basedOn w:val="DefaultParagraphFont"/>
    <w:rsid w:val="00776835"/>
    <w:rPr>
      <w:sz w:val="16"/>
    </w:rPr>
  </w:style>
  <w:style w:type="paragraph" w:customStyle="1" w:styleId="WideTable">
    <w:name w:val="Wide Table"/>
    <w:basedOn w:val="Normal"/>
    <w:rsid w:val="00776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835"/>
  </w:style>
  <w:style w:type="paragraph" w:styleId="Quote">
    <w:name w:val="Quote"/>
    <w:basedOn w:val="Heading1"/>
    <w:link w:val="QuoteChar"/>
    <w:qFormat/>
    <w:rsid w:val="00776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835"/>
    <w:pPr>
      <w:pageBreakBefore/>
    </w:pPr>
  </w:style>
  <w:style w:type="paragraph" w:customStyle="1" w:styleId="Border">
    <w:name w:val="Border"/>
    <w:basedOn w:val="Normal"/>
    <w:qFormat/>
    <w:rsid w:val="00776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835"/>
    <w:rPr>
      <w:u w:val="single"/>
    </w:rPr>
  </w:style>
  <w:style w:type="character" w:customStyle="1" w:styleId="BoldandItalics">
    <w:name w:val="Bold and Italics"/>
    <w:qFormat/>
    <w:rsid w:val="00776835"/>
    <w:rPr>
      <w:b/>
      <w:i/>
      <w:u w:val="none"/>
    </w:rPr>
  </w:style>
  <w:style w:type="paragraph" w:styleId="BalloonText">
    <w:name w:val="Balloon Text"/>
    <w:basedOn w:val="Normal"/>
    <w:link w:val="BalloonTextChar"/>
    <w:rsid w:val="00776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8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8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835"/>
    <w:pPr>
      <w:spacing w:before="0" w:after="0"/>
    </w:pPr>
  </w:style>
  <w:style w:type="paragraph" w:customStyle="1" w:styleId="BodyTextBold">
    <w:name w:val="Body Text Bold"/>
    <w:basedOn w:val="BodyText"/>
    <w:qFormat/>
    <w:rsid w:val="00776835"/>
    <w:rPr>
      <w:b/>
    </w:rPr>
  </w:style>
  <w:style w:type="character" w:styleId="Hyperlink">
    <w:name w:val="Hyperlink"/>
    <w:basedOn w:val="DefaultParagraphFont"/>
    <w:uiPriority w:val="99"/>
    <w:unhideWhenUsed/>
    <w:rsid w:val="007B6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2845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MSL974017 Prepare, standardise and use solutions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2023-01-26T22:06:00Z</dcterms:created>
  <dcterms:modified xsi:type="dcterms:W3CDTF">2023-01-26T22:06:00Z</dcterms:modified>
</cp:coreProperties>
</file>