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1B14" w:rsidP="001F1B14">
      <w:pPr>
        <w:pStyle w:val="Title"/>
      </w:pPr>
      <w:r>
        <w:fldChar w:fldCharType="begin"/>
      </w:r>
      <w:r>
        <w:instrText xml:space="preserve"> TITLE   \* MERGEFORMAT </w:instrText>
      </w:r>
      <w:r>
        <w:fldChar w:fldCharType="separate"/>
      </w:r>
      <w:r>
        <w:t>MSL974014 Classify soils</w:t>
      </w:r>
      <w:r>
        <w:fldChar w:fldCharType="end"/>
      </w:r>
    </w:p>
    <w:p w:rsidR="001F1B14" w:rsidP="001F1B14">
      <w:pPr>
        <w:pStyle w:val="Version"/>
        <w:sectPr w:rsidSect="00441A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1AA1" w:rsidP="00441AA1">
      <w:pPr>
        <w:pStyle w:val="SuperHeading"/>
      </w:pPr>
      <w:r w:rsidRPr="00441AA1">
        <w:t>MSL974014 Classify soils</w:t>
      </w:r>
    </w:p>
    <w:p w:rsidR="00000000" w:rsidRPr="00441AA1" w:rsidP="00441AA1">
      <w:pPr>
        <w:pStyle w:val="Heading1"/>
      </w:pPr>
      <w:bookmarkStart w:id="1" w:name="O_900438"/>
      <w:bookmarkEnd w:id="1"/>
      <w:r w:rsidRPr="00441AA1">
        <w:t>Modification History</w:t>
      </w:r>
    </w:p>
    <w:p w:rsidR="00000000" w:rsidRPr="00441AA1" w:rsidP="00441AA1">
      <w:pPr>
        <w:pStyle w:val="BodyText"/>
      </w:pPr>
      <w:r w:rsidRPr="00441AA1">
        <w:t>Release 1. New unit</w:t>
      </w:r>
    </w:p>
    <w:p w:rsidR="00000000" w:rsidRPr="00441AA1" w:rsidP="00441AA1">
      <w:pPr>
        <w:pStyle w:val="AllowPageBreak"/>
      </w:pPr>
    </w:p>
    <w:p w:rsidR="00000000" w:rsidRPr="00441AA1" w:rsidP="00441AA1">
      <w:pPr>
        <w:pStyle w:val="Heading1"/>
      </w:pPr>
      <w:bookmarkStart w:id="2" w:name="O_900446"/>
      <w:bookmarkEnd w:id="2"/>
      <w:r w:rsidRPr="00441AA1">
        <w:t>Application</w:t>
      </w:r>
    </w:p>
    <w:p w:rsidR="00000000" w:rsidRPr="00441AA1" w:rsidP="00441AA1">
      <w:pPr>
        <w:pStyle w:val="BodyText"/>
      </w:pPr>
      <w:r w:rsidRPr="00441AA1">
        <w:t>This unit of competency covers the ability to classify soils for geotechnical and civil construction purposes using the symbols and descriptors specified in the Australian Standard for Geotechnical Site Inv</w:t>
      </w:r>
      <w:r w:rsidRPr="00441AA1">
        <w:t>estigations (AS 1726-1993 Geotechnical site investigations, or its replacement). The unit involves confirming the client’s requirements, physical examination of site samples, interpreting field observations and test results and assignment of an appropriate</w:t>
      </w:r>
      <w:r w:rsidRPr="00441AA1">
        <w:t xml:space="preserve"> soil classification. Personnel are expected to recognise and rectify obvious errors or unexpected results, perform confirmatory tests if required and seek advice to deal with situations beyond their own technical competence.</w:t>
      </w:r>
    </w:p>
    <w:p w:rsidR="00000000" w:rsidRPr="00441AA1" w:rsidP="00441AA1">
      <w:pPr>
        <w:pStyle w:val="BodyText"/>
      </w:pPr>
    </w:p>
    <w:p w:rsidR="00000000" w:rsidRPr="00441AA1" w:rsidP="00441AA1">
      <w:pPr>
        <w:pStyle w:val="BodyText"/>
      </w:pPr>
      <w:r w:rsidRPr="00441AA1">
        <w:t xml:space="preserve">This competency is typically </w:t>
      </w:r>
      <w:r w:rsidRPr="00441AA1">
        <w:t>performed by laboratory technicians working in the construction, mining and drilling industry sectors under the guidance of a geotechnical paraprofessional or engineer.</w:t>
      </w:r>
    </w:p>
    <w:p w:rsidR="00000000" w:rsidRPr="00441AA1" w:rsidP="00441AA1">
      <w:pPr>
        <w:pStyle w:val="BodyText"/>
      </w:pPr>
    </w:p>
    <w:p w:rsidR="00000000" w:rsidRPr="00441AA1" w:rsidP="00441AA1">
      <w:pPr>
        <w:pStyle w:val="BodyText"/>
      </w:pPr>
      <w:r w:rsidRPr="00441AA1">
        <w:t>While no specific licensing or certification requirements apply to this unit at the ti</w:t>
      </w:r>
      <w:r w:rsidRPr="00441AA1">
        <w:t>me of publication, laboratory operations are governed by relevant legislation, regulations and/or external accreditation requirements. Local requirements should be checked.</w:t>
      </w:r>
    </w:p>
    <w:p w:rsidR="00000000" w:rsidRPr="00441AA1" w:rsidP="00441AA1">
      <w:pPr>
        <w:pStyle w:val="AllowPageBreak"/>
      </w:pPr>
    </w:p>
    <w:p w:rsidR="00000000" w:rsidRPr="00441AA1" w:rsidP="00441AA1">
      <w:pPr>
        <w:pStyle w:val="Heading1"/>
      </w:pPr>
      <w:bookmarkStart w:id="3" w:name="O_900445"/>
      <w:bookmarkEnd w:id="3"/>
      <w:r w:rsidRPr="00441AA1">
        <w:t>Pre-requisite Unit</w:t>
      </w:r>
    </w:p>
    <w:tbl>
      <w:tblPr>
        <w:tblW w:w="9321" w:type="dxa"/>
        <w:tblLayout w:type="fixed"/>
        <w:tblCellMar>
          <w:left w:w="62" w:type="dxa"/>
          <w:right w:w="62" w:type="dxa"/>
        </w:tblCellMar>
        <w:tblLook w:val="0000"/>
      </w:tblPr>
      <w:tblGrid>
        <w:gridCol w:w="2379"/>
        <w:gridCol w:w="6942"/>
      </w:tblGrid>
      <w:tr w:rsidTr="00441AA1">
        <w:tblPrEx>
          <w:tblW w:w="9321" w:type="dxa"/>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MSL973009</w:t>
            </w:r>
          </w:p>
        </w:tc>
        <w:tc>
          <w:tcPr>
            <w:tcW w:w="6942"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 xml:space="preserve">Conduct field-based acceptance tests </w:t>
            </w:r>
            <w:r w:rsidRPr="00441AA1">
              <w:t>for construction materials</w:t>
            </w:r>
          </w:p>
        </w:tc>
      </w:tr>
      <w:tr w:rsidTr="00441AA1">
        <w:tblPrEx>
          <w:tblW w:w="9321" w:type="dxa"/>
          <w:tblLayout w:type="fixed"/>
          <w:tblCellMar>
            <w:left w:w="62" w:type="dxa"/>
            <w:right w:w="62" w:type="dxa"/>
          </w:tblCellMar>
          <w:tblLook w:val="0000"/>
        </w:tblPrEx>
        <w:tc>
          <w:tcPr>
            <w:tcW w:w="2379"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MSL973010</w:t>
            </w:r>
          </w:p>
        </w:tc>
        <w:tc>
          <w:tcPr>
            <w:tcW w:w="6942" w:type="dxa"/>
            <w:tcBorders>
              <w:top w:val="nil"/>
              <w:left w:val="nil"/>
              <w:bottom w:val="nil"/>
              <w:right w:val="nil"/>
            </w:tcBorders>
            <w:tcMar>
              <w:top w:w="0" w:type="dxa"/>
              <w:left w:w="62" w:type="dxa"/>
              <w:bottom w:w="0" w:type="dxa"/>
              <w:right w:w="62" w:type="dxa"/>
            </w:tcMar>
          </w:tcPr>
          <w:p w:rsidR="00000000" w:rsidRPr="00441AA1" w:rsidP="00441AA1">
            <w:pPr>
              <w:pStyle w:val="BodyText"/>
            </w:pPr>
            <w:r w:rsidRPr="00441AA1">
              <w:t>Conduct laboratory-based acceptance tests for construction materials</w:t>
            </w:r>
          </w:p>
        </w:tc>
      </w:tr>
    </w:tbl>
    <w:p w:rsidR="00000000" w:rsidRPr="00441AA1" w:rsidP="00441AA1">
      <w:pPr>
        <w:pStyle w:val="BodyText"/>
      </w:pPr>
    </w:p>
    <w:p w:rsidR="00000000" w:rsidRPr="00441AA1" w:rsidP="00441AA1">
      <w:pPr>
        <w:pStyle w:val="AllowPageBreak"/>
      </w:pPr>
    </w:p>
    <w:p w:rsidR="00000000" w:rsidRPr="00441AA1" w:rsidP="00441AA1">
      <w:pPr>
        <w:pStyle w:val="Heading1"/>
      </w:pPr>
      <w:bookmarkStart w:id="4" w:name="O_900444"/>
      <w:bookmarkEnd w:id="4"/>
      <w:r w:rsidRPr="00441AA1">
        <w:t>Competency Field</w:t>
      </w:r>
    </w:p>
    <w:p w:rsidR="00000000" w:rsidRPr="00441AA1" w:rsidP="00441AA1">
      <w:pPr>
        <w:pStyle w:val="BodyText"/>
      </w:pPr>
      <w:r w:rsidRPr="00441AA1">
        <w:t>Testing</w:t>
      </w:r>
    </w:p>
    <w:p w:rsidR="00000000" w:rsidRPr="00441AA1" w:rsidP="00441AA1">
      <w:pPr>
        <w:pStyle w:val="AllowPageBreak"/>
      </w:pPr>
    </w:p>
    <w:p w:rsidR="00000000" w:rsidRPr="00441AA1" w:rsidP="00441AA1">
      <w:pPr>
        <w:pStyle w:val="Heading1"/>
      </w:pPr>
      <w:bookmarkStart w:id="5" w:name="O_900443"/>
      <w:bookmarkEnd w:id="5"/>
      <w:r w:rsidRPr="00441AA1">
        <w:t>Unit Sector</w:t>
      </w:r>
    </w:p>
    <w:p w:rsidR="00000000" w:rsidRPr="00441AA1" w:rsidP="00441AA1">
      <w:pPr>
        <w:pStyle w:val="Heading1"/>
      </w:pPr>
      <w:bookmarkStart w:id="6" w:name="O_900442"/>
      <w:bookmarkEnd w:id="6"/>
      <w:r w:rsidRPr="00441A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41A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Performance criteria describe the performance needed to demonstrate achievement of the element.</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1AA1" w:rsidP="00441AA1">
            <w:pPr>
              <w:pStyle w:val="BodyText"/>
            </w:pPr>
            <w:r w:rsidRPr="00441AA1">
              <w:t>1</w:t>
            </w:r>
          </w:p>
        </w:tc>
        <w:tc>
          <w:tcPr>
            <w:tcW w:w="1962" w:type="dxa"/>
            <w:vMerge w:val="restart"/>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rPr>
                <w:rStyle w:val="SpecialBold"/>
              </w:rPr>
              <w:t>Prepare to classify soil samples</w:t>
            </w: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1.1</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Review job request and any accompanying documentation to identify purpose of</w:t>
            </w:r>
            <w:r w:rsidRPr="00441AA1">
              <w:t xml:space="preserve"> soil classification and client’s information needs</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1.2</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Identify any hazards and relevant safe work procedures associated with the types of site samples</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1.3</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Inspect supplied samples and test data, compare with specifications and record and report any discrepancies</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1.4</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Liaise with client when supplied samples, test data and/or job request forms do not comply with workplace procedures and resolve any problems</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1.5</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Assemble required equipment/materials and check that they are fit for purpose</w:t>
            </w:r>
          </w:p>
        </w:tc>
      </w:tr>
      <w:tr w:rsidTr="00441A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1AA1" w:rsidP="00441AA1">
            <w:pPr>
              <w:pStyle w:val="BodyText"/>
            </w:pPr>
            <w:r w:rsidRPr="00441AA1">
              <w:t>2</w:t>
            </w:r>
          </w:p>
        </w:tc>
        <w:tc>
          <w:tcPr>
            <w:tcW w:w="1962" w:type="dxa"/>
            <w:vMerge w:val="restart"/>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rPr>
                <w:rStyle w:val="SpecialBold"/>
              </w:rPr>
              <w:t>Examine properties of soil samples</w:t>
            </w: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2.1</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Assess appearance and feel of soil to determine moisture condition</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2.2</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Use moulding/indentation tests, penetrometer and/or density index data to determine soil consistency</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2.3</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Identify the soil’s major, secondary and minor components and the proportion of each</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2.4</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Assign a soil colour based on own observations and revie</w:t>
            </w:r>
            <w:r w:rsidRPr="00441AA1">
              <w:t>w of field log sheets</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2.5</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Determine soil structure based on own observations and review of available zoning, defect and cementing data recorded for undisturbed field samples</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2.6</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Review any additional observations and test data that may identify soil origin</w:t>
            </w:r>
          </w:p>
        </w:tc>
      </w:tr>
      <w:tr w:rsidTr="00441A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1AA1" w:rsidP="00441AA1">
            <w:pPr>
              <w:pStyle w:val="BodyText"/>
            </w:pPr>
            <w:r w:rsidRPr="00441AA1">
              <w:t>3</w:t>
            </w:r>
          </w:p>
        </w:tc>
        <w:tc>
          <w:tcPr>
            <w:tcW w:w="1962" w:type="dxa"/>
            <w:vMerge w:val="restart"/>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rPr>
                <w:rStyle w:val="SpecialBold"/>
              </w:rPr>
              <w:t>Analyse available test results</w:t>
            </w: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3.1</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Compare supplied mechanical test data with standard classification values for different soil types</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3.2</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Compare particle size and percentage composition data with standard classification values for different soil types</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3.3</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Compare other laboratory test results with own observations to confirm assignment of plasticity, grading and strength of soil samples</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3.4</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Recognise anomalies or unexpected results and, if necessary, recheck specimens and test results and conduct repeat tests to ensure reliable results</w:t>
            </w:r>
          </w:p>
        </w:tc>
      </w:tr>
      <w:tr w:rsidTr="00441A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1AA1" w:rsidP="00441AA1">
            <w:pPr>
              <w:pStyle w:val="BodyText"/>
            </w:pPr>
            <w:r w:rsidRPr="00441AA1">
              <w:t>4</w:t>
            </w:r>
          </w:p>
        </w:tc>
        <w:tc>
          <w:tcPr>
            <w:tcW w:w="1962" w:type="dxa"/>
            <w:vMerge w:val="restart"/>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rPr>
                <w:rStyle w:val="SpecialBold"/>
              </w:rPr>
              <w:t>Record soil classification</w:t>
            </w: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4.1</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Use standard symbols and descriptors to assign a valid soil classification</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4.2</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Record and store client’s soil classification, samples and test data in accordance with workplace procedures</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4.3</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Maintain confidentiality of client information</w:t>
            </w:r>
          </w:p>
        </w:tc>
      </w:tr>
      <w:tr w:rsidTr="00441AA1">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41AA1" w:rsidP="00441AA1">
            <w:pPr>
              <w:pStyle w:val="BodyText"/>
            </w:pPr>
            <w:r w:rsidRPr="00441AA1">
              <w:t>5</w:t>
            </w:r>
          </w:p>
        </w:tc>
        <w:tc>
          <w:tcPr>
            <w:tcW w:w="1962" w:type="dxa"/>
            <w:vMerge w:val="restart"/>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5.1</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Use safe work procedures and personal protective equipment (PPE) to ensure personal safety and that of other personnel</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5.2</w:t>
            </w:r>
          </w:p>
        </w:tc>
        <w:tc>
          <w:tcPr>
            <w:tcW w:w="561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Clean work area and collect, recycle or dispose of all waste in accordance with workplace pro</w:t>
            </w:r>
            <w:r w:rsidRPr="00441AA1">
              <w:t>cedures</w:t>
            </w:r>
          </w:p>
        </w:tc>
      </w:tr>
      <w:tr w:rsidTr="00441AA1">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5.3</w:t>
            </w:r>
          </w:p>
        </w:tc>
        <w:tc>
          <w:tcPr>
            <w:tcW w:w="5610" w:type="dxa"/>
            <w:tcBorders>
              <w:top w:val="nil"/>
              <w:left w:val="nil"/>
              <w:bottom w:val="nil"/>
              <w:right w:val="nil"/>
            </w:tcBorders>
            <w:tcMar>
              <w:top w:w="0" w:type="dxa"/>
              <w:left w:w="62" w:type="dxa"/>
              <w:bottom w:w="0" w:type="dxa"/>
              <w:right w:w="62" w:type="dxa"/>
            </w:tcMar>
          </w:tcPr>
          <w:p w:rsidR="00000000" w:rsidRPr="00441AA1" w:rsidP="00441AA1">
            <w:pPr>
              <w:pStyle w:val="BodyText"/>
            </w:pPr>
            <w:r w:rsidRPr="00441AA1">
              <w:t>Clean and check serviceability of test equipment before storage</w:t>
            </w:r>
          </w:p>
        </w:tc>
      </w:tr>
    </w:tbl>
    <w:p w:rsidR="00000000" w:rsidRPr="00441AA1" w:rsidP="00441AA1">
      <w:pPr>
        <w:pStyle w:val="BodyText"/>
      </w:pPr>
    </w:p>
    <w:p w:rsidR="00000000" w:rsidRPr="00441AA1" w:rsidP="00441AA1">
      <w:pPr>
        <w:pStyle w:val="AllowPageBreak"/>
      </w:pPr>
    </w:p>
    <w:p w:rsidR="00000000" w:rsidRPr="00441AA1" w:rsidP="00441AA1">
      <w:pPr>
        <w:pStyle w:val="Heading1"/>
      </w:pPr>
      <w:bookmarkStart w:id="7" w:name="O_900441"/>
      <w:bookmarkEnd w:id="7"/>
      <w:r w:rsidRPr="00441AA1">
        <w:t>Foundation Skills</w:t>
      </w:r>
    </w:p>
    <w:p w:rsidR="00000000" w:rsidRPr="00441AA1" w:rsidP="00441AA1">
      <w:pPr>
        <w:pStyle w:val="BodyText"/>
      </w:pPr>
      <w:r w:rsidRPr="00441AA1">
        <w:t>This section describes those language, literacy, numeracy and employment skills that are essential to performance.</w:t>
      </w:r>
    </w:p>
    <w:p w:rsidR="00000000" w:rsidRPr="00441AA1" w:rsidP="00441AA1">
      <w:pPr>
        <w:pStyle w:val="BodyText"/>
      </w:pPr>
    </w:p>
    <w:p w:rsidR="00000000" w:rsidRPr="00441AA1" w:rsidP="00441AA1">
      <w:pPr>
        <w:pStyle w:val="BodyText"/>
      </w:pPr>
      <w:r w:rsidRPr="00441AA1">
        <w:t>Foundation skills essential to performance are explicit in the performance criteria of this unit of competency.</w:t>
      </w:r>
    </w:p>
    <w:p w:rsidR="00000000" w:rsidRPr="00441AA1" w:rsidP="00441AA1">
      <w:pPr>
        <w:pStyle w:val="AllowPageBreak"/>
      </w:pPr>
    </w:p>
    <w:p w:rsidR="00000000" w:rsidRPr="00441AA1" w:rsidP="00441AA1">
      <w:pPr>
        <w:pStyle w:val="Heading1"/>
      </w:pPr>
      <w:bookmarkStart w:id="8" w:name="O_900440"/>
      <w:bookmarkEnd w:id="8"/>
      <w:r w:rsidRPr="00441AA1">
        <w:t>Range of Conditions</w:t>
      </w:r>
    </w:p>
    <w:tbl>
      <w:tblPr>
        <w:tblW w:w="9321" w:type="dxa"/>
        <w:tblLayout w:type="fixed"/>
        <w:tblCellMar>
          <w:left w:w="62" w:type="dxa"/>
          <w:right w:w="62" w:type="dxa"/>
        </w:tblCellMar>
        <w:tblLook w:val="0000"/>
      </w:tblPr>
      <w:tblGrid>
        <w:gridCol w:w="2295"/>
        <w:gridCol w:w="7026"/>
      </w:tblGrid>
      <w:tr w:rsidTr="00441AA1">
        <w:tblPrEx>
          <w:tblW w:w="9321" w:type="dxa"/>
          <w:tblLayout w:type="fixed"/>
          <w:tblCellMar>
            <w:left w:w="62" w:type="dxa"/>
            <w:right w:w="62" w:type="dxa"/>
          </w:tblCellMar>
          <w:tblLook w:val="0000"/>
        </w:tblPrEx>
        <w:tc>
          <w:tcPr>
            <w:tcW w:w="9321" w:type="dxa"/>
            <w:gridSpan w:val="2"/>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t>This field allows for different work environments and conditions that may affect performance. Essential ope</w:t>
            </w:r>
            <w:r w:rsidRPr="00441AA1">
              <w:t>rating conditions that may be present (depending on the work situation, needs of the candidate, accessibility of the item, and local industry and regional contexts) are included.</w:t>
            </w:r>
          </w:p>
        </w:tc>
      </w:tr>
      <w:tr w:rsidTr="00441AA1">
        <w:tblPrEx>
          <w:tblW w:w="9321"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rPr>
                <w:rStyle w:val="SpecialBold"/>
              </w:rPr>
              <w:t xml:space="preserve">Standards, codes, procedures and/or workplace requirements </w:t>
            </w:r>
          </w:p>
        </w:tc>
        <w:tc>
          <w:tcPr>
            <w:tcW w:w="7026" w:type="dxa"/>
            <w:tcBorders>
              <w:top w:val="nil"/>
              <w:left w:val="nil"/>
              <w:bottom w:val="nil"/>
              <w:right w:val="nil"/>
            </w:tcBorders>
            <w:tcMar>
              <w:top w:w="0" w:type="dxa"/>
              <w:left w:w="62" w:type="dxa"/>
              <w:bottom w:w="0" w:type="dxa"/>
              <w:right w:w="62" w:type="dxa"/>
            </w:tcMar>
          </w:tcPr>
          <w:p w:rsidR="00000000" w:rsidRPr="00441AA1" w:rsidP="00441AA1">
            <w:pPr>
              <w:pStyle w:val="BodyText"/>
            </w:pPr>
            <w:r w:rsidRPr="00441AA1">
              <w:t>Standards, codes, procedures and/or workplace requirements include the latest version of one or more of:</w:t>
            </w:r>
          </w:p>
          <w:p w:rsidR="00000000" w:rsidRPr="00441AA1" w:rsidP="00441AA1">
            <w:pPr>
              <w:pStyle w:val="ListBullet"/>
            </w:pPr>
            <w:r w:rsidRPr="00441AA1">
              <w:t>Australian and international standards covering the requirements for the competence of testing and calibration laboratories, laboratory safety, qualit</w:t>
            </w:r>
            <w:r w:rsidRPr="00441AA1">
              <w:t>y management and environmental management</w:t>
            </w:r>
          </w:p>
          <w:p w:rsidR="00000000" w:rsidRPr="00441AA1" w:rsidP="00441AA1">
            <w:pPr>
              <w:pStyle w:val="ListBullet"/>
            </w:pPr>
            <w:r w:rsidRPr="00441AA1">
              <w:t>national work health and safety (WHS) standards and codes of practice, national measurement regulations and guidelines, and environmental legislation and regulations</w:t>
            </w:r>
          </w:p>
          <w:p w:rsidR="00000000" w:rsidRPr="00441AA1" w:rsidP="00441AA1">
            <w:pPr>
              <w:pStyle w:val="ListBullet"/>
            </w:pPr>
            <w:r w:rsidRPr="00441AA1">
              <w:t xml:space="preserve">standard methods for classifying soils, such as </w:t>
            </w:r>
            <w:r w:rsidRPr="00441AA1">
              <w:t xml:space="preserve">those listed in </w:t>
            </w:r>
            <w:r w:rsidRPr="00441AA1">
              <w:rPr>
                <w:rStyle w:val="Emphasis"/>
              </w:rPr>
              <w:t xml:space="preserve">AS 1726-1993 Geotechnical site investigations, </w:t>
            </w:r>
            <w:r w:rsidRPr="00441AA1">
              <w:t>or its replacement</w:t>
            </w:r>
          </w:p>
          <w:p w:rsidR="00000000" w:rsidRPr="00441AA1" w:rsidP="00441AA1">
            <w:pPr>
              <w:pStyle w:val="ListBullet"/>
            </w:pPr>
            <w:r w:rsidRPr="00441AA1">
              <w:t>specific codes, guidelines, procedures and methods, such as:</w:t>
            </w:r>
          </w:p>
          <w:p w:rsidR="00000000" w:rsidRPr="00441AA1" w:rsidP="00441AA1">
            <w:pPr>
              <w:pStyle w:val="ListBullet2"/>
            </w:pPr>
            <w:r w:rsidRPr="00441AA1">
              <w:t>AustRoads test methods and State/Territory Road Authority test methods</w:t>
            </w:r>
          </w:p>
          <w:p w:rsidR="00000000" w:rsidRPr="00441AA1" w:rsidP="00441AA1">
            <w:pPr>
              <w:pStyle w:val="ListBullet2"/>
            </w:pPr>
            <w:r w:rsidRPr="00441AA1">
              <w:t>National Association of Testing Authorities (NATA) documents regarding construction materials testing (Field application document)</w:t>
            </w:r>
          </w:p>
          <w:p w:rsidR="00000000" w:rsidRPr="00441AA1" w:rsidP="00441AA1">
            <w:pPr>
              <w:pStyle w:val="ListBullet"/>
            </w:pPr>
            <w:r w:rsidRPr="00441AA1">
              <w:t>workplace documents, such as standard operating procedures (SOPs); quality and equipment manuals; calibration and maintenanc</w:t>
            </w:r>
            <w:r w:rsidRPr="00441AA1">
              <w:t>e schedules; material safety data sheets (MSDS) and safety procedures; material, production and product specifications; production and laboratory schedules; workplace recording and reporting procedures; waste minimisation and safe disposal procedures; maps</w:t>
            </w:r>
            <w:r w:rsidRPr="00441AA1">
              <w:t xml:space="preserve"> and site plans</w:t>
            </w:r>
          </w:p>
          <w:p w:rsidR="00000000" w:rsidRPr="00441AA1" w:rsidP="00441AA1">
            <w:pPr>
              <w:pStyle w:val="ListBullet"/>
            </w:pPr>
            <w:r w:rsidRPr="00441AA1">
              <w:t>sampling and testing procedures for specific sites, clients and samples</w:t>
            </w:r>
          </w:p>
          <w:p w:rsidR="00000000" w:rsidP="00441AA1">
            <w:pPr>
              <w:pStyle w:val="BodyText"/>
              <w:rPr>
                <w:lang w:val="en-NZ"/>
              </w:rPr>
            </w:pPr>
          </w:p>
        </w:tc>
      </w:tr>
      <w:tr w:rsidTr="00441AA1">
        <w:tblPrEx>
          <w:tblW w:w="9321"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rPr>
                <w:rStyle w:val="SpecialBold"/>
              </w:rPr>
              <w:t xml:space="preserve">Tests used to identify soil properties </w:t>
            </w:r>
          </w:p>
        </w:tc>
        <w:tc>
          <w:tcPr>
            <w:tcW w:w="7026" w:type="dxa"/>
            <w:tcBorders>
              <w:top w:val="nil"/>
              <w:left w:val="nil"/>
              <w:bottom w:val="nil"/>
              <w:right w:val="nil"/>
            </w:tcBorders>
            <w:tcMar>
              <w:top w:w="0" w:type="dxa"/>
              <w:left w:w="62" w:type="dxa"/>
              <w:bottom w:w="0" w:type="dxa"/>
              <w:right w:w="62" w:type="dxa"/>
            </w:tcMar>
          </w:tcPr>
          <w:p w:rsidR="00000000" w:rsidRPr="00441AA1" w:rsidP="00441AA1">
            <w:pPr>
              <w:pStyle w:val="BodyText"/>
            </w:pPr>
            <w:r w:rsidRPr="00441AA1">
              <w:t xml:space="preserve">Tests used to identify soil properties include, but are not limited to, one or more of: </w:t>
            </w:r>
          </w:p>
          <w:p w:rsidR="00000000" w:rsidRPr="00441AA1" w:rsidP="00441AA1">
            <w:pPr>
              <w:pStyle w:val="ListBullet"/>
            </w:pPr>
            <w:r w:rsidRPr="00441AA1">
              <w:t>visual examination</w:t>
            </w:r>
          </w:p>
          <w:p w:rsidR="00000000" w:rsidRPr="00441AA1" w:rsidP="00441AA1">
            <w:pPr>
              <w:pStyle w:val="ListBullet"/>
            </w:pPr>
            <w:r w:rsidRPr="00441AA1">
              <w:t>soil/water properties, such as moisture content; liquid, plastic and shrinkage limits; plasticity and liquidity indices, linear shrinkage, dispersion and permeability</w:t>
            </w:r>
          </w:p>
          <w:p w:rsidR="00000000" w:rsidRPr="00441AA1" w:rsidP="00441AA1">
            <w:pPr>
              <w:pStyle w:val="ListBullet"/>
            </w:pPr>
            <w:r w:rsidRPr="00441AA1">
              <w:t>material density tests</w:t>
            </w:r>
          </w:p>
          <w:p w:rsidR="00000000" w:rsidRPr="00441AA1" w:rsidP="00441AA1">
            <w:pPr>
              <w:pStyle w:val="ListBullet"/>
            </w:pPr>
            <w:r w:rsidRPr="00441AA1">
              <w:t>particle size and shape tests</w:t>
            </w:r>
          </w:p>
          <w:p w:rsidR="00000000" w:rsidRPr="00441AA1" w:rsidP="00441AA1">
            <w:pPr>
              <w:pStyle w:val="ListBullet"/>
            </w:pPr>
            <w:r w:rsidRPr="00441AA1">
              <w:t>soil deformation characteristics</w:t>
            </w:r>
          </w:p>
          <w:p w:rsidR="00000000" w:rsidRPr="00441AA1" w:rsidP="00441AA1">
            <w:pPr>
              <w:pStyle w:val="ListBullet"/>
            </w:pPr>
            <w:r w:rsidRPr="00441AA1">
              <w:t>soi</w:t>
            </w:r>
            <w:r w:rsidRPr="00441AA1">
              <w:t>l strength tests, such as unconfined and triaxial compression, direct shear and California Bearing Ratio</w:t>
            </w:r>
          </w:p>
          <w:p w:rsidR="00000000" w:rsidRPr="00441AA1" w:rsidP="00441AA1">
            <w:pPr>
              <w:pStyle w:val="ListBullet"/>
            </w:pPr>
            <w:r w:rsidRPr="00441AA1">
              <w:t>chemical tests, such as pH and organic matter</w:t>
            </w:r>
          </w:p>
          <w:p w:rsidR="00000000" w:rsidP="00441AA1">
            <w:pPr>
              <w:pStyle w:val="BodyText"/>
              <w:rPr>
                <w:lang w:val="en-NZ"/>
              </w:rPr>
            </w:pPr>
          </w:p>
        </w:tc>
      </w:tr>
      <w:tr w:rsidTr="00441AA1">
        <w:tblPrEx>
          <w:tblW w:w="9321"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rPr>
                <w:rStyle w:val="SpecialBold"/>
              </w:rPr>
              <w:t xml:space="preserve">Safe work procedures </w:t>
            </w:r>
          </w:p>
        </w:tc>
        <w:tc>
          <w:tcPr>
            <w:tcW w:w="7026" w:type="dxa"/>
            <w:tcBorders>
              <w:top w:val="nil"/>
              <w:left w:val="nil"/>
              <w:bottom w:val="nil"/>
              <w:right w:val="nil"/>
            </w:tcBorders>
            <w:tcMar>
              <w:top w:w="0" w:type="dxa"/>
              <w:left w:w="62" w:type="dxa"/>
              <w:bottom w:w="0" w:type="dxa"/>
              <w:right w:w="62" w:type="dxa"/>
            </w:tcMar>
          </w:tcPr>
          <w:p w:rsidR="00000000" w:rsidRPr="00441AA1" w:rsidP="00441AA1">
            <w:pPr>
              <w:pStyle w:val="BodyText"/>
            </w:pPr>
            <w:r w:rsidRPr="00441AA1">
              <w:t xml:space="preserve">Safe work procedures include, but are not limited to, one or more of: </w:t>
            </w:r>
          </w:p>
          <w:p w:rsidR="00000000" w:rsidRPr="00441AA1" w:rsidP="00441AA1">
            <w:pPr>
              <w:pStyle w:val="ListBullet"/>
            </w:pPr>
            <w:r w:rsidRPr="00441AA1">
              <w:t>use of PP</w:t>
            </w:r>
            <w:r w:rsidRPr="00441AA1">
              <w:t>E, such as hard hats, hearing protection, gloves, goggles, coveralls and safety boots</w:t>
            </w:r>
          </w:p>
          <w:p w:rsidR="00000000" w:rsidRPr="00441AA1" w:rsidP="00441AA1">
            <w:pPr>
              <w:pStyle w:val="ListBullet"/>
            </w:pPr>
            <w:r w:rsidRPr="00441AA1">
              <w:t>use MSDS</w:t>
            </w:r>
          </w:p>
          <w:p w:rsidR="00000000" w:rsidRPr="00441AA1" w:rsidP="00441AA1">
            <w:pPr>
              <w:pStyle w:val="ListBullet"/>
            </w:pPr>
            <w:r w:rsidRPr="00441AA1">
              <w:t>use of machinery guards</w:t>
            </w:r>
          </w:p>
          <w:p w:rsidR="00000000" w:rsidRPr="00441AA1" w:rsidP="00441AA1">
            <w:pPr>
              <w:pStyle w:val="ListBullet"/>
            </w:pPr>
            <w:r w:rsidRPr="00441AA1">
              <w:t>recognising and observing hazard warnings and safety signs/barriers</w:t>
            </w:r>
          </w:p>
          <w:p w:rsidR="00000000" w:rsidRPr="00441AA1" w:rsidP="00441AA1">
            <w:pPr>
              <w:pStyle w:val="ListBullet"/>
            </w:pPr>
            <w:r w:rsidRPr="00441AA1">
              <w:t>handling and storing hazardous material and equipment in accordance with labels, MSDS, manufacturer instructions, and workplace procedures and regulations</w:t>
            </w:r>
          </w:p>
          <w:p w:rsidR="00000000" w:rsidRPr="00441AA1" w:rsidP="00441AA1">
            <w:pPr>
              <w:pStyle w:val="ListBullet"/>
            </w:pPr>
            <w:r w:rsidRPr="00441AA1">
              <w:t>labelling of samples, reagents and hazardous materials</w:t>
            </w:r>
          </w:p>
          <w:p w:rsidR="00000000" w:rsidRPr="00441AA1" w:rsidP="00441AA1">
            <w:pPr>
              <w:pStyle w:val="ListBullet"/>
            </w:pPr>
            <w:r w:rsidRPr="00441AA1">
              <w:t xml:space="preserve">regularly cleaning equipment </w:t>
            </w:r>
          </w:p>
          <w:p w:rsidR="00000000" w:rsidRPr="00441AA1" w:rsidP="00441AA1">
            <w:pPr>
              <w:pStyle w:val="ListBullet"/>
            </w:pPr>
            <w:r w:rsidRPr="00441AA1">
              <w:t>following establ</w:t>
            </w:r>
            <w:r w:rsidRPr="00441AA1">
              <w:t>ished manual handling procedures</w:t>
            </w:r>
          </w:p>
          <w:p w:rsidR="00000000" w:rsidP="00441AA1">
            <w:pPr>
              <w:pStyle w:val="BodyText"/>
              <w:rPr>
                <w:lang w:val="en-NZ"/>
              </w:rPr>
            </w:pPr>
          </w:p>
        </w:tc>
      </w:tr>
      <w:tr w:rsidTr="00441AA1">
        <w:tblPrEx>
          <w:tblW w:w="9321" w:type="dxa"/>
          <w:tblLayout w:type="fixed"/>
          <w:tblCellMar>
            <w:left w:w="62" w:type="dxa"/>
            <w:right w:w="62" w:type="dxa"/>
          </w:tblCellMar>
          <w:tblLook w:val="0000"/>
        </w:tblPrEx>
        <w:tc>
          <w:tcPr>
            <w:tcW w:w="2295" w:type="dxa"/>
            <w:tcBorders>
              <w:top w:val="nil"/>
              <w:left w:val="nil"/>
              <w:bottom w:val="nil"/>
              <w:right w:val="nil"/>
            </w:tcBorders>
            <w:tcMar>
              <w:top w:w="0" w:type="dxa"/>
              <w:left w:w="62" w:type="dxa"/>
              <w:bottom w:w="0" w:type="dxa"/>
              <w:right w:w="62" w:type="dxa"/>
            </w:tcMar>
          </w:tcPr>
          <w:p w:rsidR="00000000" w:rsidP="00441AA1">
            <w:pPr>
              <w:pStyle w:val="BodyText"/>
              <w:rPr>
                <w:lang w:val="en-NZ"/>
              </w:rPr>
            </w:pPr>
            <w:r w:rsidRPr="00441AA1">
              <w:rPr>
                <w:rStyle w:val="SpecialBold"/>
              </w:rPr>
              <w:t xml:space="preserve">WHS and environmental management requirements </w:t>
            </w:r>
          </w:p>
        </w:tc>
        <w:tc>
          <w:tcPr>
            <w:tcW w:w="7026" w:type="dxa"/>
            <w:tcBorders>
              <w:top w:val="nil"/>
              <w:left w:val="nil"/>
              <w:bottom w:val="nil"/>
              <w:right w:val="nil"/>
            </w:tcBorders>
            <w:tcMar>
              <w:top w:w="0" w:type="dxa"/>
              <w:left w:w="62" w:type="dxa"/>
              <w:bottom w:w="0" w:type="dxa"/>
              <w:right w:w="62" w:type="dxa"/>
            </w:tcMar>
          </w:tcPr>
          <w:p w:rsidR="00000000" w:rsidRPr="00441AA1" w:rsidP="00441AA1">
            <w:pPr>
              <w:pStyle w:val="BodyText"/>
            </w:pPr>
            <w:r w:rsidRPr="00441AA1">
              <w:t>WHS and environmental management requirements include:</w:t>
            </w:r>
          </w:p>
          <w:p w:rsidR="00000000" w:rsidRPr="00441AA1" w:rsidP="00441AA1">
            <w:pPr>
              <w:pStyle w:val="BodyText"/>
            </w:pPr>
            <w:r w:rsidRPr="00441AA1">
              <w:rPr>
                <w:rStyle w:val="Symbols"/>
              </w:rPr>
              <w:t></w:t>
            </w:r>
            <w:r w:rsidRPr="00441AA1">
              <w:rPr>
                <w:rStyle w:val="Symbols"/>
              </w:rPr>
              <w:tab/>
            </w:r>
            <w:r w:rsidRPr="00441AA1">
              <w:t>complying with WHS and environmental management requirements at all times, which may be imposed through state/territo</w:t>
            </w:r>
            <w:r w:rsidRPr="00441AA1">
              <w:t>ry or federal legislation. These requirements must not be compromised at any time</w:t>
            </w:r>
          </w:p>
          <w:p w:rsidR="00000000" w:rsidRPr="00441AA1" w:rsidP="00441AA1">
            <w:pPr>
              <w:pStyle w:val="BodyText"/>
            </w:pPr>
            <w:r w:rsidRPr="00441AA1">
              <w:rPr>
                <w:rStyle w:val="Symbols"/>
              </w:rPr>
              <w:t></w:t>
            </w:r>
            <w:r w:rsidRPr="00441AA1">
              <w:rPr>
                <w:rStyle w:val="Symbols"/>
              </w:rPr>
              <w:tab/>
            </w:r>
            <w:r w:rsidRPr="00441AA1">
              <w:t>applying standard precautions relating to the potentially hazardous nature of samples</w:t>
            </w:r>
          </w:p>
          <w:p w:rsidR="00000000" w:rsidRPr="00441AA1" w:rsidP="00441AA1">
            <w:pPr>
              <w:pStyle w:val="BodyText"/>
            </w:pPr>
          </w:p>
        </w:tc>
      </w:tr>
    </w:tbl>
    <w:p w:rsidR="00000000" w:rsidRPr="00441AA1" w:rsidP="00441AA1">
      <w:pPr>
        <w:pStyle w:val="BodyText"/>
      </w:pPr>
    </w:p>
    <w:p w:rsidR="00000000" w:rsidRPr="00441AA1" w:rsidP="00441AA1">
      <w:pPr>
        <w:pStyle w:val="AllowPageBreak"/>
      </w:pPr>
    </w:p>
    <w:p w:rsidR="00000000" w:rsidRPr="00441AA1" w:rsidP="00441AA1">
      <w:pPr>
        <w:pStyle w:val="Heading1"/>
      </w:pPr>
      <w:bookmarkStart w:id="9" w:name="O_900439"/>
      <w:bookmarkEnd w:id="9"/>
      <w:r w:rsidRPr="00441AA1">
        <w:t>Unit Mapping Information</w:t>
      </w:r>
    </w:p>
    <w:p w:rsidR="00000000" w:rsidRPr="00441AA1" w:rsidP="00441AA1">
      <w:pPr>
        <w:pStyle w:val="BodyText"/>
      </w:pPr>
      <w:r w:rsidRPr="00441AA1">
        <w:t xml:space="preserve">Release 1. No equivalent unit   </w:t>
      </w:r>
    </w:p>
    <w:p w:rsidR="00000000" w:rsidRPr="00441AA1" w:rsidP="00441AA1">
      <w:pPr>
        <w:pStyle w:val="AllowPageBreak"/>
      </w:pPr>
    </w:p>
    <w:p w:rsidR="00000000" w:rsidRPr="00441AA1" w:rsidP="00441AA1">
      <w:pPr>
        <w:pStyle w:val="Heading1"/>
      </w:pPr>
      <w:bookmarkStart w:id="10" w:name="O_900432"/>
      <w:bookmarkEnd w:id="10"/>
      <w:r w:rsidRPr="00441AA1">
        <w:t>Links</w:t>
      </w:r>
    </w:p>
    <w:p w:rsidR="00000000" w:rsidRPr="00441AA1" w:rsidP="00441AA1">
      <w:pPr>
        <w:pStyle w:val="BodyText"/>
      </w:pPr>
      <w:r w:rsidRPr="00441AA1">
        <w:t>MSA Training Package Implementation Guides - http://mskills.org.au/training-packages/info/</w:t>
      </w:r>
    </w:p>
    <w:p w:rsidR="00000000" w:rsidRPr="00441AA1" w:rsidP="00441AA1"/>
    <w:sectPr w:rsidSect="00441A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A1" w:rsidRPr="001F1B14" w:rsidP="001F1B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B14" w:rsidP="00441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F1B14" w:rsidP="00441AA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1B14" w:rsidP="00441A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A1" w:rsidRPr="001F1B14" w:rsidP="001F1B1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1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1B14" w:rsidRPr="002D2AF8" w:rsidP="00441AA1">
    <w:pPr>
      <w:pStyle w:val="Header"/>
      <w:framePr w:wrap="around"/>
    </w:pPr>
    <w:r>
      <w:fldChar w:fldCharType="begin"/>
    </w:r>
    <w:r>
      <w:instrText xml:space="preserve"> TITLE   \* MERGEFORMAT </w:instrText>
    </w:r>
    <w:r>
      <w:fldChar w:fldCharType="separate"/>
    </w:r>
    <w:r>
      <w:t>MSL974014 Classify soils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2016</w:t>
    </w:r>
    <w:r>
      <w:fldChar w:fldCharType="end"/>
    </w:r>
  </w:p>
  <w:p w:rsidR="001F1B14" w:rsidP="00441A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F830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18AB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766C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1A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1AA1"/>
    <w:pPr>
      <w:spacing w:before="360" w:after="60"/>
      <w:outlineLvl w:val="0"/>
    </w:pPr>
    <w:rPr>
      <w:sz w:val="32"/>
    </w:rPr>
  </w:style>
  <w:style w:type="paragraph" w:styleId="Heading2">
    <w:name w:val="heading 2"/>
    <w:basedOn w:val="HeadingBase"/>
    <w:next w:val="BodyText"/>
    <w:link w:val="Heading2Char"/>
    <w:qFormat/>
    <w:rsid w:val="00441AA1"/>
    <w:pPr>
      <w:keepLines/>
      <w:spacing w:before="240" w:after="120"/>
      <w:outlineLvl w:val="1"/>
    </w:pPr>
    <w:rPr>
      <w:sz w:val="28"/>
      <w:szCs w:val="40"/>
    </w:rPr>
  </w:style>
  <w:style w:type="paragraph" w:styleId="Heading3">
    <w:name w:val="heading 3"/>
    <w:basedOn w:val="HeadingBase"/>
    <w:next w:val="BodyText"/>
    <w:link w:val="Heading3Char"/>
    <w:qFormat/>
    <w:rsid w:val="00441AA1"/>
    <w:pPr>
      <w:spacing w:before="180" w:after="120"/>
      <w:outlineLvl w:val="2"/>
    </w:pPr>
    <w:rPr>
      <w:spacing w:val="-10"/>
      <w:kern w:val="32"/>
    </w:rPr>
  </w:style>
  <w:style w:type="paragraph" w:styleId="Heading4">
    <w:name w:val="heading 4"/>
    <w:basedOn w:val="HeadingBase"/>
    <w:next w:val="BodyText"/>
    <w:link w:val="Heading4Char"/>
    <w:qFormat/>
    <w:rsid w:val="00441AA1"/>
    <w:pPr>
      <w:spacing w:before="160" w:after="120"/>
      <w:outlineLvl w:val="3"/>
    </w:pPr>
    <w:rPr>
      <w:sz w:val="22"/>
    </w:rPr>
  </w:style>
  <w:style w:type="paragraph" w:styleId="Heading5">
    <w:name w:val="heading 5"/>
    <w:basedOn w:val="HeadingBase"/>
    <w:next w:val="Normal"/>
    <w:link w:val="Heading5Char"/>
    <w:qFormat/>
    <w:rsid w:val="00441AA1"/>
    <w:pPr>
      <w:spacing w:before="80"/>
      <w:outlineLvl w:val="4"/>
    </w:pPr>
    <w:rPr>
      <w:color w:val="918585"/>
      <w:sz w:val="20"/>
    </w:rPr>
  </w:style>
  <w:style w:type="paragraph" w:styleId="Heading6">
    <w:name w:val="heading 6"/>
    <w:basedOn w:val="HeadingBase"/>
    <w:next w:val="Normal"/>
    <w:link w:val="Heading6Char"/>
    <w:qFormat/>
    <w:rsid w:val="00441AA1"/>
    <w:pPr>
      <w:spacing w:before="60"/>
      <w:outlineLvl w:val="5"/>
    </w:pPr>
    <w:rPr>
      <w:color w:val="918585"/>
      <w:sz w:val="20"/>
    </w:rPr>
  </w:style>
  <w:style w:type="paragraph" w:styleId="Heading7">
    <w:name w:val="heading 7"/>
    <w:basedOn w:val="Normal"/>
    <w:next w:val="Normal"/>
    <w:link w:val="Heading7Char"/>
    <w:qFormat/>
    <w:rsid w:val="00441AA1"/>
    <w:pPr>
      <w:ind w:left="720"/>
      <w:outlineLvl w:val="6"/>
    </w:pPr>
    <w:rPr>
      <w:i/>
    </w:rPr>
  </w:style>
  <w:style w:type="paragraph" w:styleId="Heading8">
    <w:name w:val="heading 8"/>
    <w:basedOn w:val="Normal"/>
    <w:next w:val="Normal"/>
    <w:link w:val="Heading8Char"/>
    <w:qFormat/>
    <w:rsid w:val="00441AA1"/>
    <w:pPr>
      <w:ind w:left="720"/>
      <w:outlineLvl w:val="7"/>
    </w:pPr>
    <w:rPr>
      <w:i/>
    </w:rPr>
  </w:style>
  <w:style w:type="paragraph" w:styleId="Heading9">
    <w:name w:val="heading 9"/>
    <w:basedOn w:val="Normal"/>
    <w:next w:val="Normal"/>
    <w:link w:val="Heading9Char"/>
    <w:qFormat/>
    <w:rsid w:val="00441AA1"/>
    <w:pPr>
      <w:ind w:left="720"/>
      <w:outlineLvl w:val="8"/>
    </w:pPr>
    <w:rPr>
      <w:i/>
    </w:rPr>
  </w:style>
  <w:style w:type="character" w:default="1" w:styleId="DefaultParagraphFont">
    <w:name w:val="Default Paragraph Font"/>
    <w:uiPriority w:val="1"/>
    <w:unhideWhenUsed/>
    <w:rsid w:val="00441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1AA1"/>
  </w:style>
  <w:style w:type="character" w:customStyle="1" w:styleId="Heading1Char">
    <w:name w:val="Heading 1 Char"/>
    <w:basedOn w:val="DefaultParagraphFont"/>
    <w:link w:val="Heading1"/>
    <w:rsid w:val="00441AA1"/>
    <w:rPr>
      <w:rFonts w:ascii="Times New Roman" w:eastAsia="Times New Roman" w:hAnsi="Times New Roman" w:cs="Times New Roman"/>
      <w:b/>
      <w:sz w:val="32"/>
      <w:szCs w:val="20"/>
      <w:lang w:eastAsia="en-US"/>
    </w:rPr>
  </w:style>
  <w:style w:type="paragraph" w:styleId="BodyText">
    <w:name w:val="Body Text"/>
    <w:basedOn w:val="Normal"/>
    <w:link w:val="BodyTextChar"/>
    <w:rsid w:val="00441A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41AA1"/>
    <w:rPr>
      <w:rFonts w:ascii="Times New Roman" w:eastAsia="Times New Roman" w:hAnsi="Times New Roman" w:cs="Times New Roman"/>
      <w:sz w:val="24"/>
      <w:lang w:eastAsia="en-US"/>
    </w:rPr>
  </w:style>
  <w:style w:type="paragraph" w:styleId="ListBullet">
    <w:name w:val="List Bullet"/>
    <w:basedOn w:val="List"/>
    <w:rsid w:val="00441AA1"/>
    <w:pPr>
      <w:numPr>
        <w:numId w:val="13"/>
      </w:numPr>
      <w:tabs>
        <w:tab w:val="clear" w:pos="340"/>
      </w:tabs>
      <w:spacing w:before="40" w:after="40"/>
    </w:pPr>
  </w:style>
  <w:style w:type="character" w:customStyle="1" w:styleId="SpecialBold">
    <w:name w:val="Special Bold"/>
    <w:basedOn w:val="DefaultParagraphFont"/>
    <w:rsid w:val="00441AA1"/>
    <w:rPr>
      <w:b/>
      <w:spacing w:val="0"/>
    </w:rPr>
  </w:style>
  <w:style w:type="paragraph" w:styleId="ListBullet2">
    <w:name w:val="List Bullet 2"/>
    <w:basedOn w:val="List2"/>
    <w:rsid w:val="00441AA1"/>
    <w:pPr>
      <w:numPr>
        <w:numId w:val="14"/>
      </w:numPr>
      <w:tabs>
        <w:tab w:val="clear" w:pos="680"/>
      </w:tabs>
    </w:pPr>
  </w:style>
  <w:style w:type="character" w:styleId="Emphasis">
    <w:name w:val="Emphasis"/>
    <w:basedOn w:val="DefaultParagraphFont"/>
    <w:qFormat/>
    <w:rsid w:val="00441AA1"/>
    <w:rPr>
      <w:i/>
    </w:rPr>
  </w:style>
  <w:style w:type="paragraph" w:customStyle="1" w:styleId="SuperHeading">
    <w:name w:val="SuperHeading"/>
    <w:basedOn w:val="Normal"/>
    <w:rsid w:val="00441AA1"/>
    <w:pPr>
      <w:spacing w:before="240" w:after="120"/>
      <w:outlineLvl w:val="0"/>
    </w:pPr>
    <w:rPr>
      <w:rFonts w:ascii="Times New Roman" w:hAnsi="Times New Roman"/>
      <w:b/>
      <w:sz w:val="32"/>
    </w:rPr>
  </w:style>
  <w:style w:type="paragraph" w:customStyle="1" w:styleId="AllowPageBreak">
    <w:name w:val="AllowPageBreak"/>
    <w:rsid w:val="00441A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441AA1"/>
    <w:rPr>
      <w:rFonts w:ascii="Symbol" w:hAnsi="Symbol"/>
    </w:rPr>
  </w:style>
  <w:style w:type="character" w:customStyle="1" w:styleId="Heading2Char">
    <w:name w:val="Heading 2 Char"/>
    <w:basedOn w:val="DefaultParagraphFont"/>
    <w:link w:val="Heading2"/>
    <w:rsid w:val="00441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1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1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1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1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1A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1A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1AA1"/>
    <w:rPr>
      <w:rFonts w:ascii="Courier New" w:eastAsia="Times New Roman" w:hAnsi="Courier New" w:cs="Times New Roman"/>
      <w:i/>
      <w:szCs w:val="20"/>
      <w:lang w:eastAsia="en-US"/>
    </w:rPr>
  </w:style>
  <w:style w:type="paragraph" w:customStyle="1" w:styleId="HeadingBase">
    <w:name w:val="Heading Base"/>
    <w:rsid w:val="00441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1AA1"/>
    <w:pPr>
      <w:tabs>
        <w:tab w:val="right" w:leader="dot" w:pos="9072"/>
      </w:tabs>
      <w:ind w:left="567"/>
    </w:pPr>
    <w:rPr>
      <w:szCs w:val="22"/>
    </w:rPr>
  </w:style>
  <w:style w:type="paragraph" w:customStyle="1" w:styleId="TOCBase">
    <w:name w:val="TOC Base"/>
    <w:rsid w:val="00441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1AA1"/>
    <w:pPr>
      <w:tabs>
        <w:tab w:val="right" w:leader="dot" w:pos="9072"/>
      </w:tabs>
      <w:spacing w:before="40" w:after="40"/>
      <w:ind w:left="284"/>
    </w:pPr>
    <w:rPr>
      <w:rFonts w:ascii="Times New Roman" w:hAnsi="Times New Roman"/>
    </w:rPr>
  </w:style>
  <w:style w:type="paragraph" w:styleId="TOC1">
    <w:name w:val="toc 1"/>
    <w:basedOn w:val="TOCBase"/>
    <w:next w:val="Normal"/>
    <w:rsid w:val="00441A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1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1AA1"/>
    <w:rPr>
      <w:rFonts w:ascii="Times New Roman" w:eastAsia="Times New Roman" w:hAnsi="Times New Roman" w:cs="Times New Roman"/>
      <w:sz w:val="16"/>
      <w:lang w:eastAsia="en-US"/>
    </w:rPr>
  </w:style>
  <w:style w:type="paragraph" w:styleId="Title">
    <w:name w:val="Title"/>
    <w:basedOn w:val="HeadingBase"/>
    <w:link w:val="TitleChar"/>
    <w:qFormat/>
    <w:rsid w:val="00441AA1"/>
    <w:pPr>
      <w:spacing w:before="5040"/>
      <w:jc w:val="center"/>
    </w:pPr>
    <w:rPr>
      <w:sz w:val="48"/>
      <w:szCs w:val="72"/>
      <w:lang w:val="en-US"/>
    </w:rPr>
  </w:style>
  <w:style w:type="character" w:customStyle="1" w:styleId="TitleChar">
    <w:name w:val="Title Char"/>
    <w:basedOn w:val="DefaultParagraphFont"/>
    <w:link w:val="Title"/>
    <w:rsid w:val="00441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1AA1"/>
    <w:pPr>
      <w:tabs>
        <w:tab w:val="left" w:pos="3600"/>
        <w:tab w:val="left" w:pos="3958"/>
      </w:tabs>
    </w:pPr>
  </w:style>
  <w:style w:type="paragraph" w:styleId="List">
    <w:name w:val="List"/>
    <w:basedOn w:val="BodyText"/>
    <w:next w:val="BodyText"/>
    <w:rsid w:val="00441AA1"/>
    <w:pPr>
      <w:tabs>
        <w:tab w:val="left" w:pos="340"/>
      </w:tabs>
      <w:spacing w:before="60" w:after="60"/>
      <w:ind w:left="340" w:hanging="340"/>
    </w:pPr>
  </w:style>
  <w:style w:type="paragraph" w:customStyle="1" w:styleId="Note">
    <w:name w:val="Note"/>
    <w:basedOn w:val="BodyText"/>
    <w:rsid w:val="00441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1AA1"/>
    <w:pPr>
      <w:framePr w:wrap="auto" w:hAnchor="text" w:y="6049"/>
    </w:pPr>
    <w:rPr>
      <w:color w:val="000000"/>
      <w:sz w:val="40"/>
    </w:rPr>
  </w:style>
  <w:style w:type="paragraph" w:customStyle="1" w:styleId="TOCTitle">
    <w:name w:val="TOCTitle"/>
    <w:basedOn w:val="Heading1"/>
    <w:rsid w:val="00441AA1"/>
    <w:pPr>
      <w:spacing w:after="240"/>
      <w:jc w:val="center"/>
      <w:outlineLvl w:val="9"/>
    </w:pPr>
    <w:rPr>
      <w:caps/>
    </w:rPr>
  </w:style>
  <w:style w:type="paragraph" w:customStyle="1" w:styleId="Version">
    <w:name w:val="Version"/>
    <w:rsid w:val="00441A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1AA1"/>
    <w:pPr>
      <w:keepNext w:val="0"/>
      <w:tabs>
        <w:tab w:val="right" w:pos="4176"/>
      </w:tabs>
      <w:ind w:left="198" w:hanging="198"/>
    </w:pPr>
    <w:rPr>
      <w:rFonts w:ascii="Garamond" w:hAnsi="Garamond"/>
    </w:rPr>
  </w:style>
  <w:style w:type="paragraph" w:styleId="IndexHeading">
    <w:name w:val="index heading"/>
    <w:basedOn w:val="Normal"/>
    <w:next w:val="Index1"/>
    <w:semiHidden/>
    <w:rsid w:val="00441AA1"/>
    <w:pPr>
      <w:spacing w:before="120" w:after="120"/>
    </w:pPr>
    <w:rPr>
      <w:rFonts w:ascii="Arial" w:hAnsi="Arial"/>
      <w:b/>
      <w:color w:val="918585"/>
      <w:sz w:val="24"/>
    </w:rPr>
  </w:style>
  <w:style w:type="paragraph" w:styleId="Header">
    <w:name w:val="header"/>
    <w:basedOn w:val="Normal"/>
    <w:link w:val="HeaderChar"/>
    <w:rsid w:val="00441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1AA1"/>
    <w:rPr>
      <w:rFonts w:ascii="Times New Roman" w:eastAsia="Times New Roman" w:hAnsi="Times New Roman" w:cs="Times New Roman"/>
      <w:sz w:val="16"/>
      <w:szCs w:val="20"/>
      <w:lang w:val="en-GB" w:eastAsia="en-US"/>
    </w:rPr>
  </w:style>
  <w:style w:type="paragraph" w:customStyle="1" w:styleId="Chapter">
    <w:name w:val="Chapter"/>
    <w:basedOn w:val="Normal"/>
    <w:rsid w:val="00441AA1"/>
    <w:pPr>
      <w:spacing w:before="240"/>
    </w:pPr>
    <w:rPr>
      <w:rFonts w:ascii="Times New Roman" w:hAnsi="Times New Roman"/>
      <w:smallCaps/>
      <w:spacing w:val="80"/>
      <w:sz w:val="28"/>
    </w:rPr>
  </w:style>
  <w:style w:type="paragraph" w:customStyle="1" w:styleId="InChapter">
    <w:name w:val="InChapter"/>
    <w:basedOn w:val="Heading3"/>
    <w:rsid w:val="00441AA1"/>
    <w:pPr>
      <w:spacing w:after="240"/>
      <w:outlineLvl w:val="9"/>
    </w:pPr>
    <w:rPr>
      <w:noProof/>
    </w:rPr>
  </w:style>
  <w:style w:type="paragraph" w:styleId="Index2">
    <w:name w:val="index 2"/>
    <w:basedOn w:val="Normal"/>
    <w:next w:val="Normal"/>
    <w:semiHidden/>
    <w:rsid w:val="00441AA1"/>
    <w:pPr>
      <w:tabs>
        <w:tab w:val="right" w:pos="4176"/>
      </w:tabs>
      <w:ind w:left="568" w:hanging="284"/>
    </w:pPr>
    <w:rPr>
      <w:rFonts w:ascii="Garamond" w:hAnsi="Garamond"/>
    </w:rPr>
  </w:style>
  <w:style w:type="paragraph" w:customStyle="1" w:styleId="Byline">
    <w:name w:val="Byline"/>
    <w:rsid w:val="00441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1AA1"/>
    <w:pPr>
      <w:tabs>
        <w:tab w:val="clear" w:pos="3600"/>
        <w:tab w:val="clear" w:pos="3958"/>
      </w:tabs>
      <w:jc w:val="right"/>
    </w:pPr>
  </w:style>
  <w:style w:type="paragraph" w:styleId="Caption">
    <w:name w:val="caption"/>
    <w:basedOn w:val="BodyText"/>
    <w:next w:val="Normal"/>
    <w:qFormat/>
    <w:rsid w:val="00441AA1"/>
    <w:pPr>
      <w:framePr w:w="2268" w:hSpace="181" w:vSpace="181" w:wrap="around" w:vAnchor="text" w:hAnchor="page" w:x="1135" w:y="285" w:anchorLock="1"/>
    </w:pPr>
    <w:rPr>
      <w:i/>
    </w:rPr>
  </w:style>
  <w:style w:type="paragraph" w:customStyle="1" w:styleId="MiniTOCTitle">
    <w:name w:val="MiniTOCTitle"/>
    <w:basedOn w:val="Heading4"/>
    <w:rsid w:val="00441AA1"/>
    <w:pPr>
      <w:spacing w:before="240"/>
      <w:outlineLvl w:val="9"/>
    </w:pPr>
    <w:rPr>
      <w:noProof/>
      <w:sz w:val="24"/>
    </w:rPr>
  </w:style>
  <w:style w:type="paragraph" w:customStyle="1" w:styleId="MiniTOCItem">
    <w:name w:val="MiniTOCItem"/>
    <w:basedOn w:val="ListBullet"/>
    <w:rsid w:val="00441AA1"/>
    <w:pPr>
      <w:numPr>
        <w:numId w:val="0"/>
      </w:numPr>
      <w:tabs>
        <w:tab w:val="right" w:leader="dot" w:pos="6521"/>
      </w:tabs>
      <w:spacing w:before="0" w:after="0"/>
    </w:pPr>
  </w:style>
  <w:style w:type="paragraph" w:customStyle="1" w:styleId="TOFTitle">
    <w:name w:val="TOFTitle"/>
    <w:basedOn w:val="TOCTitle"/>
    <w:rsid w:val="00441AA1"/>
  </w:style>
  <w:style w:type="paragraph" w:styleId="TableofFigures">
    <w:name w:val="table of figures"/>
    <w:basedOn w:val="Normal"/>
    <w:next w:val="Normal"/>
    <w:semiHidden/>
    <w:rsid w:val="00441AA1"/>
    <w:pPr>
      <w:tabs>
        <w:tab w:val="right" w:leader="dot" w:pos="9072"/>
      </w:tabs>
      <w:ind w:left="970" w:hanging="403"/>
    </w:pPr>
    <w:rPr>
      <w:rFonts w:ascii="Times New Roman" w:hAnsi="Times New Roman"/>
      <w:b/>
    </w:rPr>
  </w:style>
  <w:style w:type="paragraph" w:styleId="ListNumber">
    <w:name w:val="List Number"/>
    <w:basedOn w:val="List"/>
    <w:rsid w:val="00441AA1"/>
    <w:pPr>
      <w:numPr>
        <w:numId w:val="11"/>
      </w:numPr>
    </w:pPr>
  </w:style>
  <w:style w:type="character" w:customStyle="1" w:styleId="WingdingSymbols">
    <w:name w:val="Wingding Symbols"/>
    <w:rsid w:val="00441AA1"/>
    <w:rPr>
      <w:rFonts w:ascii="Wingdings" w:hAnsi="Wingdings"/>
    </w:rPr>
  </w:style>
  <w:style w:type="paragraph" w:customStyle="1" w:styleId="TableHeading">
    <w:name w:val="Table Heading"/>
    <w:basedOn w:val="HeadingBase"/>
    <w:rsid w:val="00441AA1"/>
    <w:pPr>
      <w:keepLines/>
      <w:pBdr>
        <w:bottom w:val="single" w:sz="6" w:space="1" w:color="918585"/>
      </w:pBdr>
      <w:spacing w:before="240"/>
    </w:pPr>
  </w:style>
  <w:style w:type="character" w:customStyle="1" w:styleId="HotSpot">
    <w:name w:val="HotSpot"/>
    <w:rsid w:val="00441AA1"/>
    <w:rPr>
      <w:color w:val="0033CC"/>
      <w:u w:val="none"/>
    </w:rPr>
  </w:style>
  <w:style w:type="paragraph" w:customStyle="1" w:styleId="BodyTextRight">
    <w:name w:val="Body Text Right"/>
    <w:basedOn w:val="BodyText"/>
    <w:rsid w:val="00441AA1"/>
    <w:pPr>
      <w:spacing w:before="0" w:after="0"/>
      <w:jc w:val="right"/>
    </w:pPr>
  </w:style>
  <w:style w:type="paragraph" w:styleId="Index3">
    <w:name w:val="index 3"/>
    <w:basedOn w:val="ListNumber2"/>
    <w:next w:val="Normal"/>
    <w:semiHidden/>
    <w:rsid w:val="00441AA1"/>
    <w:pPr>
      <w:numPr>
        <w:numId w:val="0"/>
      </w:numPr>
      <w:tabs>
        <w:tab w:val="right" w:leader="dot" w:pos="4176"/>
      </w:tabs>
    </w:pPr>
  </w:style>
  <w:style w:type="paragraph" w:styleId="ListNumber2">
    <w:name w:val="List Number 2"/>
    <w:basedOn w:val="List2"/>
    <w:rsid w:val="00441AA1"/>
    <w:pPr>
      <w:numPr>
        <w:numId w:val="10"/>
      </w:numPr>
      <w:tabs>
        <w:tab w:val="clear" w:pos="1060"/>
      </w:tabs>
    </w:pPr>
  </w:style>
  <w:style w:type="paragraph" w:customStyle="1" w:styleId="MarginNote">
    <w:name w:val="Margin Note"/>
    <w:basedOn w:val="BodyText"/>
    <w:rsid w:val="00441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1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1A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1AA1"/>
    <w:rPr>
      <w:sz w:val="32"/>
    </w:rPr>
  </w:style>
  <w:style w:type="paragraph" w:customStyle="1" w:styleId="HeadingProcedure">
    <w:name w:val="Heading Procedure"/>
    <w:basedOn w:val="HeadingBase"/>
    <w:next w:val="Normal"/>
    <w:rsid w:val="00441AA1"/>
    <w:pPr>
      <w:tabs>
        <w:tab w:val="left" w:pos="0"/>
      </w:tabs>
      <w:spacing w:before="120" w:after="60"/>
    </w:pPr>
    <w:rPr>
      <w:i/>
      <w:color w:val="918585"/>
      <w:sz w:val="22"/>
    </w:rPr>
  </w:style>
  <w:style w:type="paragraph" w:customStyle="1" w:styleId="TableBodyText">
    <w:name w:val="Table Body Text"/>
    <w:basedOn w:val="BodyText"/>
    <w:rsid w:val="00441AA1"/>
    <w:pPr>
      <w:spacing w:before="60" w:after="60"/>
    </w:pPr>
  </w:style>
  <w:style w:type="paragraph" w:styleId="ListContinue">
    <w:name w:val="List Continue"/>
    <w:basedOn w:val="List"/>
    <w:rsid w:val="00441AA1"/>
    <w:pPr>
      <w:ind w:firstLine="0"/>
    </w:pPr>
  </w:style>
  <w:style w:type="paragraph" w:customStyle="1" w:styleId="ListNote">
    <w:name w:val="List Note"/>
    <w:basedOn w:val="List"/>
    <w:rsid w:val="00441AA1"/>
    <w:pPr>
      <w:pBdr>
        <w:top w:val="single" w:sz="6" w:space="2" w:color="918585"/>
        <w:bottom w:val="single" w:sz="6" w:space="2" w:color="918585"/>
      </w:pBdr>
      <w:tabs>
        <w:tab w:val="left" w:pos="1021"/>
      </w:tabs>
      <w:ind w:firstLine="0"/>
    </w:pPr>
  </w:style>
  <w:style w:type="paragraph" w:customStyle="1" w:styleId="Warning">
    <w:name w:val="Warning"/>
    <w:basedOn w:val="BodyText"/>
    <w:rsid w:val="00441AA1"/>
    <w:pPr>
      <w:shd w:val="clear" w:color="auto" w:fill="D9D9D9"/>
      <w:tabs>
        <w:tab w:val="left" w:pos="992"/>
      </w:tabs>
      <w:ind w:left="119" w:right="119"/>
    </w:pPr>
    <w:rPr>
      <w:sz w:val="20"/>
    </w:rPr>
  </w:style>
  <w:style w:type="paragraph" w:customStyle="1" w:styleId="MarginIcons">
    <w:name w:val="Margin Icons"/>
    <w:basedOn w:val="BodyText"/>
    <w:rsid w:val="00441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1AA1"/>
    <w:rPr>
      <w:rFonts w:ascii="Courier New" w:hAnsi="Courier New"/>
    </w:rPr>
  </w:style>
  <w:style w:type="paragraph" w:customStyle="1" w:styleId="NoteBullet">
    <w:name w:val="Note Bullet"/>
    <w:basedOn w:val="Note"/>
    <w:rsid w:val="00441AA1"/>
    <w:pPr>
      <w:tabs>
        <w:tab w:val="clear" w:pos="680"/>
      </w:tabs>
      <w:spacing w:before="60" w:after="60"/>
    </w:pPr>
  </w:style>
  <w:style w:type="paragraph" w:customStyle="1" w:styleId="SubHeading2">
    <w:name w:val="SubHeading2"/>
    <w:basedOn w:val="HeadingBase"/>
    <w:rsid w:val="00441AA1"/>
    <w:pPr>
      <w:spacing w:before="240" w:after="60"/>
    </w:pPr>
    <w:rPr>
      <w:sz w:val="20"/>
    </w:rPr>
  </w:style>
  <w:style w:type="paragraph" w:customStyle="1" w:styleId="SubHeading1">
    <w:name w:val="SubHeading1"/>
    <w:basedOn w:val="HeadingBase"/>
    <w:rsid w:val="00441AA1"/>
    <w:pPr>
      <w:spacing w:before="240" w:after="60"/>
    </w:pPr>
    <w:rPr>
      <w:color w:val="918585"/>
      <w:sz w:val="22"/>
    </w:rPr>
  </w:style>
  <w:style w:type="paragraph" w:customStyle="1" w:styleId="SideHeading">
    <w:name w:val="Side Heading"/>
    <w:basedOn w:val="HeadingBase"/>
    <w:rsid w:val="00441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1AA1"/>
    <w:pPr>
      <w:numPr>
        <w:numId w:val="12"/>
      </w:numPr>
    </w:pPr>
  </w:style>
  <w:style w:type="paragraph" w:styleId="PlainText">
    <w:name w:val="Plain Text"/>
    <w:basedOn w:val="Normal"/>
    <w:link w:val="PlainTextChar"/>
    <w:rsid w:val="00441AA1"/>
    <w:rPr>
      <w:sz w:val="20"/>
    </w:rPr>
  </w:style>
  <w:style w:type="character" w:customStyle="1" w:styleId="PlainTextChar">
    <w:name w:val="Plain Text Char"/>
    <w:basedOn w:val="DefaultParagraphFont"/>
    <w:link w:val="PlainText"/>
    <w:rsid w:val="00441AA1"/>
    <w:rPr>
      <w:rFonts w:ascii="Courier New" w:eastAsia="Times New Roman" w:hAnsi="Courier New" w:cs="Times New Roman"/>
      <w:sz w:val="20"/>
      <w:szCs w:val="20"/>
      <w:lang w:eastAsia="en-US"/>
    </w:rPr>
  </w:style>
  <w:style w:type="character" w:customStyle="1" w:styleId="MenuOption">
    <w:name w:val="Menu Option"/>
    <w:basedOn w:val="DefaultParagraphFont"/>
    <w:rsid w:val="00441AA1"/>
    <w:rPr>
      <w:b/>
      <w:smallCaps/>
    </w:rPr>
  </w:style>
  <w:style w:type="paragraph" w:customStyle="1" w:styleId="TableListNumber">
    <w:name w:val="Table List Number"/>
    <w:basedOn w:val="ListNumber"/>
    <w:rsid w:val="00441AA1"/>
    <w:pPr>
      <w:numPr>
        <w:numId w:val="0"/>
      </w:numPr>
    </w:pPr>
  </w:style>
  <w:style w:type="paragraph" w:styleId="TOC4">
    <w:name w:val="toc 4"/>
    <w:basedOn w:val="TOCBase"/>
    <w:next w:val="Normal"/>
    <w:semiHidden/>
    <w:rsid w:val="00441AA1"/>
    <w:pPr>
      <w:tabs>
        <w:tab w:val="right" w:leader="dot" w:pos="9071"/>
      </w:tabs>
      <w:ind w:left="1701"/>
    </w:pPr>
  </w:style>
  <w:style w:type="paragraph" w:customStyle="1" w:styleId="ListAlpha">
    <w:name w:val="List Alpha"/>
    <w:basedOn w:val="List"/>
    <w:rsid w:val="00441AA1"/>
    <w:pPr>
      <w:numPr>
        <w:numId w:val="9"/>
      </w:numPr>
    </w:pPr>
  </w:style>
  <w:style w:type="paragraph" w:customStyle="1" w:styleId="ListAlpha2">
    <w:name w:val="List Alpha 2"/>
    <w:basedOn w:val="List2"/>
    <w:rsid w:val="00441AA1"/>
    <w:pPr>
      <w:numPr>
        <w:numId w:val="8"/>
      </w:numPr>
    </w:pPr>
  </w:style>
  <w:style w:type="paragraph" w:styleId="List2">
    <w:name w:val="List 2"/>
    <w:basedOn w:val="BodyText"/>
    <w:rsid w:val="00441AA1"/>
    <w:pPr>
      <w:tabs>
        <w:tab w:val="left" w:pos="680"/>
      </w:tabs>
      <w:spacing w:before="60" w:after="60"/>
      <w:ind w:left="680" w:hanging="340"/>
    </w:pPr>
  </w:style>
  <w:style w:type="paragraph" w:styleId="List3">
    <w:name w:val="List 3"/>
    <w:basedOn w:val="BodyText"/>
    <w:rsid w:val="00441AA1"/>
    <w:pPr>
      <w:tabs>
        <w:tab w:val="left" w:pos="1021"/>
      </w:tabs>
      <w:spacing w:before="60" w:after="60"/>
      <w:ind w:left="1020" w:hanging="340"/>
    </w:pPr>
  </w:style>
  <w:style w:type="paragraph" w:styleId="List4">
    <w:name w:val="List 4"/>
    <w:basedOn w:val="BodyText"/>
    <w:rsid w:val="00441AA1"/>
    <w:pPr>
      <w:tabs>
        <w:tab w:val="left" w:pos="1361"/>
      </w:tabs>
      <w:spacing w:before="60" w:after="60"/>
      <w:ind w:left="1361" w:hanging="340"/>
    </w:pPr>
  </w:style>
  <w:style w:type="paragraph" w:styleId="List5">
    <w:name w:val="List 5"/>
    <w:basedOn w:val="BodyText"/>
    <w:rsid w:val="00441AA1"/>
    <w:pPr>
      <w:tabs>
        <w:tab w:val="left" w:pos="1701"/>
      </w:tabs>
      <w:spacing w:before="60" w:after="60"/>
      <w:ind w:left="1701" w:hanging="340"/>
    </w:pPr>
  </w:style>
  <w:style w:type="paragraph" w:styleId="ListBullet3">
    <w:name w:val="List Bullet 3"/>
    <w:basedOn w:val="List3"/>
    <w:rsid w:val="00441AA1"/>
    <w:pPr>
      <w:numPr>
        <w:numId w:val="15"/>
      </w:numPr>
      <w:tabs>
        <w:tab w:val="clear" w:pos="1021"/>
      </w:tabs>
      <w:ind w:left="1037" w:hanging="357"/>
    </w:pPr>
  </w:style>
  <w:style w:type="paragraph" w:styleId="ListBullet4">
    <w:name w:val="List Bullet 4"/>
    <w:basedOn w:val="List4"/>
    <w:rsid w:val="00441AA1"/>
    <w:pPr>
      <w:numPr>
        <w:numId w:val="3"/>
      </w:numPr>
      <w:tabs>
        <w:tab w:val="clear" w:pos="1361"/>
      </w:tabs>
    </w:pPr>
  </w:style>
  <w:style w:type="paragraph" w:styleId="ListBullet5">
    <w:name w:val="List Bullet 5"/>
    <w:basedOn w:val="List5"/>
    <w:rsid w:val="00441AA1"/>
    <w:pPr>
      <w:numPr>
        <w:numId w:val="4"/>
      </w:numPr>
    </w:pPr>
  </w:style>
  <w:style w:type="paragraph" w:styleId="ListContinue2">
    <w:name w:val="List Continue 2"/>
    <w:basedOn w:val="List2"/>
    <w:rsid w:val="00441AA1"/>
    <w:pPr>
      <w:ind w:firstLine="0"/>
    </w:pPr>
  </w:style>
  <w:style w:type="paragraph" w:styleId="ListContinue3">
    <w:name w:val="List Continue 3"/>
    <w:basedOn w:val="List3"/>
    <w:rsid w:val="00441AA1"/>
    <w:pPr>
      <w:ind w:left="1021" w:firstLine="0"/>
    </w:pPr>
  </w:style>
  <w:style w:type="paragraph" w:styleId="ListContinue4">
    <w:name w:val="List Continue 4"/>
    <w:basedOn w:val="List4"/>
    <w:rsid w:val="00441AA1"/>
    <w:pPr>
      <w:ind w:firstLine="0"/>
    </w:pPr>
  </w:style>
  <w:style w:type="paragraph" w:styleId="ListContinue5">
    <w:name w:val="List Continue 5"/>
    <w:basedOn w:val="List5"/>
    <w:rsid w:val="00441AA1"/>
    <w:pPr>
      <w:ind w:firstLine="0"/>
    </w:pPr>
  </w:style>
  <w:style w:type="paragraph" w:styleId="ListNumber3">
    <w:name w:val="List Number 3"/>
    <w:basedOn w:val="List3"/>
    <w:rsid w:val="00441AA1"/>
    <w:pPr>
      <w:numPr>
        <w:numId w:val="5"/>
      </w:numPr>
    </w:pPr>
  </w:style>
  <w:style w:type="paragraph" w:styleId="ListNumber4">
    <w:name w:val="List Number 4"/>
    <w:basedOn w:val="List4"/>
    <w:rsid w:val="00441AA1"/>
    <w:pPr>
      <w:numPr>
        <w:numId w:val="6"/>
      </w:numPr>
    </w:pPr>
  </w:style>
  <w:style w:type="paragraph" w:styleId="ListNumber5">
    <w:name w:val="List Number 5"/>
    <w:basedOn w:val="List5"/>
    <w:rsid w:val="00441AA1"/>
    <w:pPr>
      <w:numPr>
        <w:numId w:val="7"/>
      </w:numPr>
    </w:pPr>
  </w:style>
  <w:style w:type="paragraph" w:styleId="BlockText">
    <w:name w:val="Block Text"/>
    <w:basedOn w:val="Normal"/>
    <w:rsid w:val="00441AA1"/>
    <w:pPr>
      <w:spacing w:after="120"/>
      <w:ind w:left="1440" w:right="1440"/>
    </w:pPr>
  </w:style>
  <w:style w:type="character" w:customStyle="1" w:styleId="Subscript">
    <w:name w:val="Subscript"/>
    <w:basedOn w:val="DefaultParagraphFont"/>
    <w:rsid w:val="00441AA1"/>
    <w:rPr>
      <w:sz w:val="16"/>
      <w:vertAlign w:val="subscript"/>
    </w:rPr>
  </w:style>
  <w:style w:type="character" w:customStyle="1" w:styleId="Superscript">
    <w:name w:val="Superscript"/>
    <w:basedOn w:val="DefaultParagraphFont"/>
    <w:rsid w:val="00441AA1"/>
    <w:rPr>
      <w:sz w:val="16"/>
      <w:vertAlign w:val="superscript"/>
    </w:rPr>
  </w:style>
  <w:style w:type="character" w:customStyle="1" w:styleId="MenuOptions">
    <w:name w:val="Menu Options"/>
    <w:basedOn w:val="DefaultParagraphFont"/>
    <w:rsid w:val="00441AA1"/>
    <w:rPr>
      <w:rFonts w:ascii="Arial Narrow" w:hAnsi="Arial Narrow"/>
      <w:smallCaps/>
    </w:rPr>
  </w:style>
  <w:style w:type="character" w:customStyle="1" w:styleId="Buttons">
    <w:name w:val="Buttons"/>
    <w:basedOn w:val="DefaultParagraphFont"/>
    <w:rsid w:val="00441AA1"/>
    <w:rPr>
      <w:b/>
    </w:rPr>
  </w:style>
  <w:style w:type="character" w:customStyle="1" w:styleId="Underlined">
    <w:name w:val="Underlined"/>
    <w:basedOn w:val="DefaultParagraphFont"/>
    <w:rsid w:val="00441AA1"/>
    <w:rPr>
      <w:u w:val="single"/>
    </w:rPr>
  </w:style>
  <w:style w:type="paragraph" w:customStyle="1" w:styleId="TableBodyTextRight">
    <w:name w:val="Table Body Text Right"/>
    <w:basedOn w:val="TableBodyText"/>
    <w:rsid w:val="00441AA1"/>
    <w:pPr>
      <w:widowControl w:val="0"/>
      <w:autoSpaceDE w:val="0"/>
      <w:autoSpaceDN w:val="0"/>
      <w:adjustRightInd w:val="0"/>
      <w:jc w:val="right"/>
    </w:pPr>
    <w:rPr>
      <w:rFonts w:cs="Arial"/>
      <w:szCs w:val="18"/>
    </w:rPr>
  </w:style>
  <w:style w:type="paragraph" w:customStyle="1" w:styleId="CopyrightText">
    <w:name w:val="Copyright Text"/>
    <w:basedOn w:val="BodyText"/>
    <w:rsid w:val="00441AA1"/>
    <w:rPr>
      <w:sz w:val="18"/>
    </w:rPr>
  </w:style>
  <w:style w:type="paragraph" w:customStyle="1" w:styleId="BodySmallRight">
    <w:name w:val="Body Small Right"/>
    <w:basedOn w:val="BodyTextRight"/>
    <w:rsid w:val="00441AA1"/>
    <w:rPr>
      <w:sz w:val="18"/>
      <w:szCs w:val="18"/>
    </w:rPr>
  </w:style>
  <w:style w:type="paragraph" w:customStyle="1" w:styleId="MarginEdition">
    <w:name w:val="Margin Edition"/>
    <w:basedOn w:val="MarginNote"/>
    <w:rsid w:val="00441AA1"/>
    <w:pPr>
      <w:spacing w:before="0" w:after="0"/>
    </w:pPr>
    <w:rPr>
      <w:rFonts w:ascii="Times New Roman" w:hAnsi="Times New Roman"/>
      <w:color w:val="999999"/>
    </w:rPr>
  </w:style>
  <w:style w:type="paragraph" w:customStyle="1" w:styleId="Spacer">
    <w:name w:val="Spacer"/>
    <w:basedOn w:val="Normal"/>
    <w:rsid w:val="00441AA1"/>
    <w:rPr>
      <w:sz w:val="2"/>
      <w:szCs w:val="2"/>
    </w:rPr>
  </w:style>
  <w:style w:type="character" w:customStyle="1" w:styleId="Small">
    <w:name w:val="Small"/>
    <w:basedOn w:val="DefaultParagraphFont"/>
    <w:rsid w:val="00441AA1"/>
    <w:rPr>
      <w:sz w:val="16"/>
    </w:rPr>
  </w:style>
  <w:style w:type="paragraph" w:customStyle="1" w:styleId="WideTable">
    <w:name w:val="Wide Table"/>
    <w:basedOn w:val="Normal"/>
    <w:rsid w:val="00441AA1"/>
    <w:pPr>
      <w:ind w:left="-1418"/>
    </w:pPr>
    <w:rPr>
      <w:sz w:val="2"/>
      <w:szCs w:val="2"/>
    </w:rPr>
  </w:style>
  <w:style w:type="character" w:styleId="PageNumber">
    <w:name w:val="page number"/>
    <w:basedOn w:val="DefaultParagraphFont"/>
    <w:rsid w:val="00441AA1"/>
  </w:style>
  <w:style w:type="paragraph" w:styleId="Quote">
    <w:name w:val="Quote"/>
    <w:basedOn w:val="Heading1"/>
    <w:link w:val="QuoteChar"/>
    <w:qFormat/>
    <w:rsid w:val="00441AA1"/>
    <w:rPr>
      <w:b w:val="0"/>
      <w:sz w:val="72"/>
      <w:szCs w:val="72"/>
      <w:lang w:val="en-NZ"/>
    </w:rPr>
  </w:style>
  <w:style w:type="character" w:customStyle="1" w:styleId="QuoteChar">
    <w:name w:val="Quote Char"/>
    <w:basedOn w:val="DefaultParagraphFont"/>
    <w:link w:val="Quote"/>
    <w:rsid w:val="00441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1AA1"/>
    <w:pPr>
      <w:pageBreakBefore/>
    </w:pPr>
  </w:style>
  <w:style w:type="paragraph" w:customStyle="1" w:styleId="Border">
    <w:name w:val="Border"/>
    <w:basedOn w:val="Normal"/>
    <w:qFormat/>
    <w:rsid w:val="00441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1AA1"/>
    <w:rPr>
      <w:b/>
      <w:bCs/>
      <w:i/>
      <w:iCs/>
      <w:color w:val="auto"/>
    </w:rPr>
  </w:style>
  <w:style w:type="paragraph" w:styleId="IntenseQuote">
    <w:name w:val="Intense Quote"/>
    <w:basedOn w:val="Normal"/>
    <w:next w:val="Normal"/>
    <w:link w:val="IntenseQuoteChar"/>
    <w:uiPriority w:val="30"/>
    <w:qFormat/>
    <w:rsid w:val="00441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1A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1AA1"/>
    <w:rPr>
      <w:smallCaps/>
      <w:color w:val="auto"/>
      <w:u w:val="single"/>
    </w:rPr>
  </w:style>
  <w:style w:type="character" w:styleId="IntenseReference">
    <w:name w:val="Intense Reference"/>
    <w:basedOn w:val="DefaultParagraphFont"/>
    <w:uiPriority w:val="32"/>
    <w:qFormat/>
    <w:rsid w:val="00441AA1"/>
    <w:rPr>
      <w:b/>
      <w:bCs/>
      <w:smallCaps/>
      <w:color w:val="auto"/>
      <w:spacing w:val="5"/>
      <w:u w:val="single"/>
    </w:rPr>
  </w:style>
  <w:style w:type="paragraph" w:customStyle="1" w:styleId="2ColumnHeading">
    <w:name w:val="2Column Heading"/>
    <w:basedOn w:val="BodyText"/>
    <w:qFormat/>
    <w:rsid w:val="00441AA1"/>
    <w:pPr>
      <w:spacing w:after="60"/>
      <w:ind w:left="-2268"/>
    </w:pPr>
    <w:rPr>
      <w:b/>
    </w:rPr>
  </w:style>
  <w:style w:type="paragraph" w:customStyle="1" w:styleId="Heading1TOC">
    <w:name w:val="Heading1 TOC"/>
    <w:basedOn w:val="Normal"/>
    <w:qFormat/>
    <w:rsid w:val="00441AA1"/>
    <w:pPr>
      <w:spacing w:before="240" w:after="120"/>
    </w:pPr>
    <w:rPr>
      <w:rFonts w:ascii="Times New Roman" w:hAnsi="Times New Roman"/>
      <w:b/>
      <w:sz w:val="32"/>
    </w:rPr>
  </w:style>
  <w:style w:type="paragraph" w:customStyle="1" w:styleId="Heading2TOC">
    <w:name w:val="Heading2 TOC"/>
    <w:basedOn w:val="Normal"/>
    <w:qFormat/>
    <w:rsid w:val="00441AA1"/>
    <w:pPr>
      <w:spacing w:before="240" w:after="60"/>
    </w:pPr>
    <w:rPr>
      <w:rFonts w:ascii="Times New Roman" w:hAnsi="Times New Roman"/>
      <w:b/>
      <w:sz w:val="28"/>
    </w:rPr>
  </w:style>
  <w:style w:type="character" w:customStyle="1" w:styleId="Underline">
    <w:name w:val="Underline"/>
    <w:basedOn w:val="DefaultParagraphFont"/>
    <w:qFormat/>
    <w:rsid w:val="00441AA1"/>
    <w:rPr>
      <w:u w:val="single"/>
    </w:rPr>
  </w:style>
  <w:style w:type="character" w:customStyle="1" w:styleId="BoldandItalics">
    <w:name w:val="Bold and Italics"/>
    <w:qFormat/>
    <w:rsid w:val="00441AA1"/>
    <w:rPr>
      <w:b/>
      <w:i/>
      <w:u w:val="none"/>
    </w:rPr>
  </w:style>
  <w:style w:type="paragraph" w:styleId="BalloonText">
    <w:name w:val="Balloon Text"/>
    <w:basedOn w:val="Normal"/>
    <w:link w:val="BalloonTextChar"/>
    <w:rsid w:val="00441AA1"/>
    <w:rPr>
      <w:rFonts w:ascii="Tahoma" w:hAnsi="Tahoma" w:cs="Tahoma"/>
      <w:sz w:val="16"/>
      <w:szCs w:val="16"/>
    </w:rPr>
  </w:style>
  <w:style w:type="character" w:customStyle="1" w:styleId="BalloonTextChar">
    <w:name w:val="Balloon Text Char"/>
    <w:basedOn w:val="DefaultParagraphFont"/>
    <w:link w:val="BalloonText"/>
    <w:rsid w:val="00441A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1A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41A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1AA1"/>
    <w:rPr>
      <w:b/>
      <w:color w:val="660033"/>
      <w:spacing w:val="0"/>
    </w:rPr>
  </w:style>
  <w:style w:type="paragraph" w:customStyle="1" w:styleId="Nameditemlist">
    <w:name w:val="Named item list"/>
    <w:basedOn w:val="BodyText"/>
    <w:qFormat/>
    <w:rsid w:val="00441AA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1033</Words>
  <Characters>6607</Characters>
  <Application>Microsoft Office Word</Application>
  <DocSecurity>0</DocSecurity>
  <Lines>258</Lines>
  <Paragraphs>114</Paragraphs>
  <ScaleCrop>false</ScaleCrop>
  <Company>Author-it Software Corporation Ltd.</Company>
  <LinksUpToDate>false</LinksUpToDate>
  <CharactersWithSpaces>7560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MSL974014 Classify soils</dc:title>
  <dc:subject>Approved</dc:subject>
  <dc:creator>Manufacturing Skills Australia</dc:creator>
  <cp:keywords>Release: 1</cp:keywords>
  <dc:description>Review Date: 12 April 2008</dc:description>
  <cp:lastModifiedBy>HSD_TPCMSd.prod</cp:lastModifiedBy>
  <cp:revision>3</cp:revision>
  <dcterms:created xsi:type="dcterms:W3CDTF">2016-03-01T06:26:00Z</dcterms:created>
  <dcterms:modified xsi:type="dcterms:W3CDTF">2016-03-01T06:26:00Z</dcterms:modified>
</cp:coreProperties>
</file>