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E13" w:rsidP="006E5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MSL974013 Monitor performance of structures</w:t>
      </w:r>
      <w:r>
        <w:fldChar w:fldCharType="end"/>
      </w:r>
    </w:p>
    <w:p w:rsidR="006E5E13" w:rsidP="006E5E13">
      <w:pPr>
        <w:pStyle w:val="Version"/>
        <w:sectPr w:rsidSect="006A0A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A2F" w:rsidP="006A0A2F">
      <w:pPr>
        <w:pStyle w:val="SuperHeading"/>
      </w:pPr>
      <w:r w:rsidRPr="006A0A2F">
        <w:t>MSL974013 Monitor performance of structures</w:t>
      </w:r>
    </w:p>
    <w:p w:rsidR="00000000" w:rsidRPr="006A0A2F" w:rsidP="006A0A2F">
      <w:pPr>
        <w:pStyle w:val="Heading1"/>
      </w:pPr>
      <w:bookmarkStart w:id="1" w:name="O_900381"/>
      <w:bookmarkEnd w:id="1"/>
      <w:r w:rsidRPr="006A0A2F">
        <w:t>Modification History</w:t>
      </w:r>
    </w:p>
    <w:p w:rsidR="00000000" w:rsidRPr="006A0A2F" w:rsidP="006A0A2F">
      <w:pPr>
        <w:pStyle w:val="BodyText"/>
      </w:pPr>
      <w:r w:rsidRPr="006A0A2F">
        <w:t>Release 1. Supersedes and is equivalent to MSL974013A Monitor performance of structures</w:t>
      </w:r>
    </w:p>
    <w:p w:rsidR="00000000" w:rsidRPr="006A0A2F" w:rsidP="006A0A2F">
      <w:pPr>
        <w:pStyle w:val="AllowPageBreak"/>
      </w:pPr>
    </w:p>
    <w:p w:rsidR="00000000" w:rsidRPr="006A0A2F" w:rsidP="006A0A2F">
      <w:pPr>
        <w:pStyle w:val="Heading1"/>
      </w:pPr>
      <w:bookmarkStart w:id="2" w:name="O_900389"/>
      <w:bookmarkEnd w:id="2"/>
      <w:r w:rsidRPr="006A0A2F">
        <w:t>Application</w:t>
      </w:r>
    </w:p>
    <w:p w:rsidR="00000000" w:rsidRPr="006A0A2F" w:rsidP="006A0A2F">
      <w:pPr>
        <w:pStyle w:val="BodyText"/>
      </w:pPr>
      <w:r w:rsidRPr="006A0A2F">
        <w:t xml:space="preserve">This unit of competency covers the ability to monitor civil engineering structures (such as roads, dams, embankments, </w:t>
      </w:r>
      <w:r w:rsidRPr="006A0A2F">
        <w:t>open cut faces, bridges, tunnels, towers and other concrete/steel erections) to measure their performance, confirm design parameters or measure the effects of improvements or rehabilitation. The unit involves confirming the requirements of the monitoring a</w:t>
      </w:r>
      <w:r w:rsidRPr="006A0A2F">
        <w:t>ctivities, liaising with site personnel, performing monitoring activities, setting up monitoring equipment, collecting reliable data and reporting results. Personnel are also expected to interpret results in the field, recognise/rectify obvious errors or u</w:t>
      </w:r>
      <w:r w:rsidRPr="006A0A2F">
        <w:t>nexpected results and troubleshoot common problems.</w:t>
      </w:r>
    </w:p>
    <w:p w:rsidR="00000000" w:rsidRPr="006A0A2F" w:rsidP="006A0A2F">
      <w:pPr>
        <w:pStyle w:val="BodyText"/>
      </w:pPr>
    </w:p>
    <w:p w:rsidR="00000000" w:rsidRPr="006A0A2F" w:rsidP="006A0A2F">
      <w:pPr>
        <w:pStyle w:val="BodyText"/>
      </w:pPr>
      <w:r w:rsidRPr="006A0A2F">
        <w:t>This unit of competency is applicable to laboratory personnel working in the geotechnical, construction material testing, civil engineering and mining industry sectors.</w:t>
      </w:r>
    </w:p>
    <w:p w:rsidR="00000000" w:rsidRPr="006A0A2F" w:rsidP="006A0A2F">
      <w:pPr>
        <w:pStyle w:val="BodyText"/>
      </w:pPr>
    </w:p>
    <w:p w:rsidR="00000000" w:rsidRPr="006A0A2F" w:rsidP="006A0A2F">
      <w:pPr>
        <w:pStyle w:val="BodyText"/>
      </w:pPr>
      <w:r w:rsidRPr="006A0A2F">
        <w:t>While no specific licensing or ce</w:t>
      </w:r>
      <w:r w:rsidRPr="006A0A2F">
        <w:t>rtification requirements apply to this unit at the time of publication, laboratory operations are governed by relevant legislation, regulations and/or external accreditation requirements. Local requirements should be checked.</w:t>
      </w:r>
    </w:p>
    <w:p w:rsidR="00000000" w:rsidRPr="006A0A2F" w:rsidP="006A0A2F">
      <w:pPr>
        <w:pStyle w:val="AllowPageBreak"/>
      </w:pPr>
    </w:p>
    <w:p w:rsidR="00000000" w:rsidRPr="006A0A2F" w:rsidP="006A0A2F">
      <w:pPr>
        <w:pStyle w:val="Heading1"/>
      </w:pPr>
      <w:bookmarkStart w:id="3" w:name="O_900388"/>
      <w:bookmarkEnd w:id="3"/>
      <w:r w:rsidRPr="006A0A2F">
        <w:t>Pre-requisite</w:t>
      </w:r>
      <w:r w:rsidRPr="006A0A2F">
        <w:t xml:space="preserve">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E5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MSL973009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2F" w:rsidP="006A0A2F">
            <w:pPr>
              <w:pStyle w:val="BodyText"/>
            </w:pPr>
            <w:r w:rsidRPr="006A0A2F">
              <w:t>Conduct field-based acceptance tests for construction materials</w:t>
            </w:r>
          </w:p>
        </w:tc>
      </w:tr>
    </w:tbl>
    <w:p w:rsidR="00000000" w:rsidRPr="006A0A2F" w:rsidP="006A0A2F">
      <w:pPr>
        <w:pStyle w:val="BodyText"/>
      </w:pPr>
    </w:p>
    <w:p w:rsidR="00000000" w:rsidRPr="006A0A2F" w:rsidP="006A0A2F">
      <w:pPr>
        <w:pStyle w:val="AllowPageBreak"/>
      </w:pPr>
    </w:p>
    <w:p w:rsidR="00000000" w:rsidRPr="006A0A2F" w:rsidP="006A0A2F">
      <w:pPr>
        <w:pStyle w:val="Heading1"/>
      </w:pPr>
      <w:bookmarkStart w:id="4" w:name="O_900387"/>
      <w:bookmarkEnd w:id="4"/>
      <w:r w:rsidRPr="006A0A2F">
        <w:t>Competency Field</w:t>
      </w:r>
    </w:p>
    <w:p w:rsidR="00000000" w:rsidRPr="006A0A2F" w:rsidP="006A0A2F">
      <w:pPr>
        <w:pStyle w:val="BodyText"/>
      </w:pPr>
      <w:r w:rsidRPr="006A0A2F">
        <w:t>Testing</w:t>
      </w:r>
    </w:p>
    <w:p w:rsidR="00000000" w:rsidRPr="006A0A2F" w:rsidP="006A0A2F">
      <w:pPr>
        <w:pStyle w:val="AllowPageBreak"/>
      </w:pPr>
    </w:p>
    <w:p w:rsidR="00000000" w:rsidRPr="006A0A2F" w:rsidP="006A0A2F">
      <w:pPr>
        <w:pStyle w:val="Heading1"/>
      </w:pPr>
      <w:bookmarkStart w:id="5" w:name="O_900386"/>
      <w:bookmarkEnd w:id="5"/>
      <w:r w:rsidRPr="006A0A2F">
        <w:t>Unit Sector</w:t>
      </w:r>
    </w:p>
    <w:p w:rsidR="00000000" w:rsidRPr="006A0A2F" w:rsidP="006A0A2F">
      <w:pPr>
        <w:pStyle w:val="Heading1"/>
      </w:pPr>
      <w:bookmarkStart w:id="6" w:name="O_900385"/>
      <w:bookmarkEnd w:id="6"/>
      <w:r w:rsidRPr="006A0A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Performance criteria describe the performance needed to demonstrate achievement of the element.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2F" w:rsidP="006A0A2F">
            <w:pPr>
              <w:pStyle w:val="BodyText"/>
            </w:pPr>
            <w:r w:rsidRPr="006A0A2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rPr>
                <w:rStyle w:val="SpecialBold"/>
              </w:rPr>
              <w:t>Confirm requirements for monitoring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Review job request to confirm the purpose and objectives of monitoring activities with supervising staff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Review emergency plans, site hazards, risk assessments, safe work procedures and environmental requirements, associated with the monitoring activities and site requirements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Review any available data from previous monitoring at the site to identify expected values and any trends in results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 xml:space="preserve">Liaise with client to arrange site access, confirm timing and clarify the need for permits, induction training or any other special </w:t>
            </w:r>
            <w:r w:rsidRPr="006A0A2F">
              <w:t>requirements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Confirm details of monitoring instruments to be used, parameters to be measured and the data formats required by users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2F" w:rsidP="006A0A2F">
            <w:pPr>
              <w:pStyle w:val="BodyText"/>
            </w:pPr>
            <w:r w:rsidRPr="006A0A2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rPr>
                <w:rStyle w:val="SpecialBold"/>
              </w:rPr>
              <w:t>Prepare for monitoring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Complete all administrative requirements and obtain appropriate approvals/permits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Make appropriate travel arrangements to and from the site, as required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Assemble all required instruments, equipment and supplies and check that they are fit for purpose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Stow monitoring instruments, equipment and supplies to ensure their safe transport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Liaise with appropriate personnel on arrival at site to ensur</w:t>
            </w:r>
            <w:r w:rsidRPr="006A0A2F">
              <w:t>e safety and minimise disruption to other workers during monitoring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Complete site induction as necessary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2F" w:rsidP="006A0A2F">
            <w:pPr>
              <w:pStyle w:val="BodyText"/>
            </w:pPr>
            <w:r w:rsidRPr="006A0A2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rPr>
                <w:rStyle w:val="SpecialBold"/>
              </w:rPr>
              <w:t>Collect and verify monitoring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Use barriers and signage to control access to work area in accordance with workplace safety procedures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Perform pre-use checks of instruments and trial measurements to ensure they are operating within specifications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Identify location for monitoring in accordance with work instructions and/or test method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Operate instruments safely and in accordance with work instructions, test method, and/or manufacturer specifications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Take sufficient measurements to ensu</w:t>
            </w:r>
            <w:r w:rsidRPr="006A0A2F">
              <w:t>re that data meets quality requirements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Recognise obvious errors or atypical data and take appropriate corrective actions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Recognise and record/photograph details of site conditions that may impact on data quality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Seek advice to deal with any situation beyond own technical competence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2F" w:rsidP="006A0A2F">
            <w:pPr>
              <w:pStyle w:val="BodyText"/>
            </w:pPr>
            <w:r w:rsidRPr="006A0A2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rPr>
                <w:rStyle w:val="SpecialBold"/>
              </w:rPr>
              <w:t>Finalise monitoring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Remove signage and barriers and reinstate all disturbed surfaces in accordance with workplace procedures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Ensure all data are stored safely before shutdown of instrument/equipment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Clean all instruments and equipment (and vehicle as necessary) to avoid environmental damage, including stormwater run-off and/or transfer of pests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Check that all instruments, equipment and supplies are present and undamaged before re-stowing them for safe transport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Notify appropriate site personnel on completion of monitoring activities and prior to leaving site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On return to base, check</w:t>
            </w:r>
            <w:r w:rsidRPr="006A0A2F">
              <w:t xml:space="preserve"> serviceability of instruments and equipment before storage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Download data into laboratory/workplace information management system in accordance with workplace procedures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4.8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Complete site safety plans, instrument/equipment logs and test reports i</w:t>
            </w:r>
            <w:r w:rsidRPr="006A0A2F">
              <w:t>n accordance with workplace procedures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4.9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Notify supervising staff upon completion of activities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4.10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Report any significant issues arising from monitoring activities to appropriate personnel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2F" w:rsidP="006A0A2F">
            <w:pPr>
              <w:pStyle w:val="BodyText"/>
            </w:pPr>
            <w:r w:rsidRPr="006A0A2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Use safe work procedures and personal protective equipment (PPE) to ensure personal safety and that of others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Minimise environmental impacts of monitoring activities and generation of waste</w:t>
            </w:r>
          </w:p>
        </w:tc>
      </w:tr>
      <w:tr w:rsidTr="006A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2F" w:rsidP="006A0A2F">
            <w:pPr>
              <w:pStyle w:val="BodyText"/>
            </w:pPr>
            <w:r w:rsidRPr="006A0A2F">
              <w:t>Collect and/or dispose of all waste in accordance wi</w:t>
            </w:r>
            <w:r w:rsidRPr="006A0A2F">
              <w:t>th environmental/quarantine requirements and workplace procedures</w:t>
            </w:r>
          </w:p>
        </w:tc>
      </w:tr>
    </w:tbl>
    <w:p w:rsidR="00000000" w:rsidRPr="006A0A2F" w:rsidP="006A0A2F">
      <w:pPr>
        <w:pStyle w:val="BodyText"/>
      </w:pPr>
    </w:p>
    <w:p w:rsidR="00000000" w:rsidRPr="006A0A2F" w:rsidP="006A0A2F">
      <w:pPr>
        <w:pStyle w:val="AllowPageBreak"/>
      </w:pPr>
    </w:p>
    <w:p w:rsidR="00000000" w:rsidRPr="006A0A2F" w:rsidP="006A0A2F">
      <w:pPr>
        <w:pStyle w:val="Heading1"/>
      </w:pPr>
      <w:bookmarkStart w:id="7" w:name="O_900384"/>
      <w:bookmarkEnd w:id="7"/>
      <w:r w:rsidRPr="006A0A2F">
        <w:t>Foundation Skills</w:t>
      </w:r>
    </w:p>
    <w:p w:rsidR="00000000" w:rsidRPr="006A0A2F" w:rsidP="006A0A2F">
      <w:pPr>
        <w:pStyle w:val="BodyText"/>
      </w:pPr>
      <w:r w:rsidRPr="006A0A2F">
        <w:t>This section describes those language, literacy, numeracy and employment skills that are essential to performance.</w:t>
      </w:r>
    </w:p>
    <w:p w:rsidR="00000000" w:rsidRPr="006A0A2F" w:rsidP="006A0A2F">
      <w:pPr>
        <w:pStyle w:val="BodyText"/>
      </w:pPr>
    </w:p>
    <w:p w:rsidR="00000000" w:rsidRPr="006A0A2F" w:rsidP="006A0A2F">
      <w:pPr>
        <w:pStyle w:val="BodyText"/>
      </w:pPr>
      <w:r w:rsidRPr="006A0A2F">
        <w:t>Foundation skills essential to performance are explicit in the performance criteria of this unit of competency.</w:t>
      </w:r>
    </w:p>
    <w:p w:rsidR="00000000" w:rsidRPr="006A0A2F" w:rsidP="006A0A2F">
      <w:pPr>
        <w:pStyle w:val="AllowPageBreak"/>
      </w:pPr>
    </w:p>
    <w:p w:rsidR="00000000" w:rsidRPr="006A0A2F" w:rsidP="006A0A2F">
      <w:pPr>
        <w:pStyle w:val="Heading1"/>
      </w:pPr>
      <w:bookmarkStart w:id="8" w:name="O_900383"/>
      <w:bookmarkEnd w:id="8"/>
      <w:r w:rsidRPr="006A0A2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E5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t>This field allows for different work environments and conditions that may affect performance. Essential ope</w:t>
            </w:r>
            <w:r w:rsidRPr="006A0A2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E5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2F" w:rsidP="006A0A2F">
            <w:pPr>
              <w:pStyle w:val="BodyText"/>
            </w:pPr>
            <w:r w:rsidRPr="006A0A2F">
              <w:t>Standards, code</w:t>
            </w:r>
            <w:r w:rsidRPr="006A0A2F">
              <w:t>s, procedures and/or workplace requirements include the latest version of one or more of:</w:t>
            </w:r>
          </w:p>
          <w:p w:rsidR="00000000" w:rsidRPr="006A0A2F" w:rsidP="006A0A2F">
            <w:pPr>
              <w:pStyle w:val="ListBullet"/>
            </w:pPr>
            <w:r w:rsidRPr="006A0A2F">
              <w:t>Australian and international standards covering the requirements for the competence of testing and calibration laboratories, laboratory safety, quality management an</w:t>
            </w:r>
            <w:r w:rsidRPr="006A0A2F">
              <w:t>d environmental management</w:t>
            </w:r>
          </w:p>
          <w:p w:rsidR="00000000" w:rsidRPr="006A0A2F" w:rsidP="006A0A2F">
            <w:pPr>
              <w:pStyle w:val="ListBullet"/>
            </w:pPr>
            <w:r w:rsidRPr="006A0A2F">
              <w:t>national work health and safety (WHS) standards and codes of practice, national measurement regulations and guidelines, and environmental legislation and regulations</w:t>
            </w:r>
          </w:p>
          <w:p w:rsidR="00000000" w:rsidRPr="006A0A2F" w:rsidP="006A0A2F">
            <w:pPr>
              <w:pStyle w:val="ListBullet"/>
            </w:pPr>
            <w:r w:rsidRPr="006A0A2F">
              <w:t>standard methods for sampling and testing construction materials, such as soils, aggregates, concrete and asphalt</w:t>
            </w:r>
          </w:p>
          <w:p w:rsidR="00000000" w:rsidRPr="006A0A2F" w:rsidP="006A0A2F">
            <w:pPr>
              <w:pStyle w:val="ListBullet"/>
            </w:pPr>
            <w:r w:rsidRPr="006A0A2F">
              <w:t>specific codes, guidelines, procedures and methods, such as:</w:t>
            </w:r>
          </w:p>
          <w:p w:rsidR="00000000" w:rsidRPr="006A0A2F" w:rsidP="006A0A2F">
            <w:pPr>
              <w:pStyle w:val="ListBullet2"/>
            </w:pPr>
            <w:r w:rsidRPr="006A0A2F">
              <w:t>AustRoads test methods and State/Territory Road Authority test methods</w:t>
            </w:r>
          </w:p>
          <w:p w:rsidR="00000000" w:rsidRPr="006A0A2F" w:rsidP="006A0A2F">
            <w:pPr>
              <w:pStyle w:val="ListBullet2"/>
            </w:pPr>
            <w:r w:rsidRPr="006A0A2F">
              <w:t xml:space="preserve">National </w:t>
            </w:r>
            <w:r w:rsidRPr="006A0A2F">
              <w:t>Association of Testing Authorities (NATA) documents regarding construction materials testing (Field application document)</w:t>
            </w:r>
          </w:p>
          <w:p w:rsidR="00000000" w:rsidRPr="006A0A2F" w:rsidP="006A0A2F">
            <w:pPr>
              <w:pStyle w:val="ListBullet"/>
            </w:pPr>
            <w:r w:rsidRPr="006A0A2F">
              <w:t>workplace documents, such as standard operating procedures (SOPs); quality and equipment manuals; calibration and maintenance schedul</w:t>
            </w:r>
            <w:r w:rsidRPr="006A0A2F">
              <w:t>es; material safety data sheets (MSDS) and safety procedures; material, production and product specifications; production and laboratory schedules; workplace recording and reporting procedures; waste minimisation and safe disposal procedures; maps and site</w:t>
            </w:r>
            <w:r w:rsidRPr="006A0A2F">
              <w:t xml:space="preserve"> plans</w:t>
            </w:r>
          </w:p>
          <w:p w:rsidR="00000000" w:rsidRPr="006A0A2F" w:rsidP="006A0A2F">
            <w:pPr>
              <w:pStyle w:val="ListBullet"/>
            </w:pPr>
            <w:r w:rsidRPr="006A0A2F">
              <w:t>sampling and testing procedures for specific sites, clients and samples</w:t>
            </w:r>
          </w:p>
          <w:p w:rsidR="00000000" w:rsidP="006A0A2F">
            <w:pPr>
              <w:pStyle w:val="BodyText"/>
              <w:rPr>
                <w:lang w:val="en-NZ"/>
              </w:rPr>
            </w:pPr>
          </w:p>
        </w:tc>
      </w:tr>
      <w:tr w:rsidTr="006E5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rPr>
                <w:rStyle w:val="SpecialBold"/>
              </w:rPr>
              <w:t xml:space="preserve">Monitoring activities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2F" w:rsidP="006A0A2F">
            <w:pPr>
              <w:pStyle w:val="BodyText"/>
            </w:pPr>
            <w:r w:rsidRPr="006A0A2F">
              <w:t>Monitoring activities include, but is not limited to, measuring one or more of:</w:t>
            </w:r>
          </w:p>
          <w:p w:rsidR="00000000" w:rsidRPr="006A0A2F" w:rsidP="006A0A2F">
            <w:pPr>
              <w:pStyle w:val="ListBullet"/>
            </w:pPr>
            <w:r w:rsidRPr="006A0A2F">
              <w:t>displacement and vibration</w:t>
            </w:r>
          </w:p>
          <w:p w:rsidR="00000000" w:rsidRPr="006A0A2F" w:rsidP="006A0A2F">
            <w:pPr>
              <w:pStyle w:val="ListBullet"/>
            </w:pPr>
            <w:r w:rsidRPr="006A0A2F">
              <w:t>pressure and force</w:t>
            </w:r>
          </w:p>
          <w:p w:rsidR="00000000" w:rsidRPr="006A0A2F" w:rsidP="006A0A2F">
            <w:pPr>
              <w:pStyle w:val="ListBullet"/>
            </w:pPr>
            <w:r w:rsidRPr="006A0A2F">
              <w:t>temperature</w:t>
            </w:r>
          </w:p>
          <w:p w:rsidR="00000000" w:rsidRPr="006A0A2F" w:rsidP="006A0A2F">
            <w:pPr>
              <w:pStyle w:val="ListBullet"/>
            </w:pPr>
            <w:r w:rsidRPr="006A0A2F">
              <w:t>setting time</w:t>
            </w:r>
          </w:p>
          <w:p w:rsidR="00000000" w:rsidRPr="006A0A2F" w:rsidP="006A0A2F">
            <w:pPr>
              <w:pStyle w:val="ListBullet"/>
            </w:pPr>
            <w:r w:rsidRPr="006A0A2F">
              <w:t>strain</w:t>
            </w:r>
          </w:p>
          <w:p w:rsidR="00000000" w:rsidRPr="006A0A2F" w:rsidP="006A0A2F">
            <w:pPr>
              <w:pStyle w:val="ListBullet"/>
            </w:pPr>
            <w:r w:rsidRPr="006A0A2F">
              <w:t>cracking (visual assessment of road condition)</w:t>
            </w:r>
          </w:p>
          <w:p w:rsidR="00000000" w:rsidRPr="006A0A2F" w:rsidP="006A0A2F">
            <w:pPr>
              <w:pStyle w:val="ListBullet"/>
            </w:pPr>
            <w:r w:rsidRPr="006A0A2F">
              <w:t>defect mapping</w:t>
            </w:r>
          </w:p>
          <w:p w:rsidR="00000000" w:rsidRPr="006A0A2F" w:rsidP="006A0A2F">
            <w:pPr>
              <w:pStyle w:val="ListBullet"/>
            </w:pPr>
            <w:r w:rsidRPr="006A0A2F">
              <w:t>moisture</w:t>
            </w:r>
          </w:p>
          <w:p w:rsidR="00000000" w:rsidRPr="006A0A2F" w:rsidP="006A0A2F">
            <w:pPr>
              <w:pStyle w:val="ListBullet"/>
            </w:pPr>
            <w:r w:rsidRPr="006A0A2F">
              <w:t>water levels</w:t>
            </w:r>
          </w:p>
          <w:p w:rsidR="00000000" w:rsidRPr="006A0A2F" w:rsidP="006A0A2F">
            <w:pPr>
              <w:pStyle w:val="ListBullet"/>
            </w:pPr>
            <w:r w:rsidRPr="006A0A2F">
              <w:t>movement of chemical ions through structures</w:t>
            </w:r>
          </w:p>
          <w:p w:rsidR="00000000" w:rsidP="006A0A2F">
            <w:pPr>
              <w:pStyle w:val="BodyText"/>
              <w:rPr>
                <w:lang w:val="en-NZ"/>
              </w:rPr>
            </w:pPr>
          </w:p>
        </w:tc>
      </w:tr>
      <w:tr w:rsidTr="006E5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rPr>
                <w:rStyle w:val="SpecialBold"/>
              </w:rPr>
              <w:t xml:space="preserve">Administrative requirements and appropriate approvals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2F" w:rsidP="006A0A2F">
            <w:pPr>
              <w:pStyle w:val="BodyText"/>
            </w:pPr>
            <w:r w:rsidRPr="006A0A2F">
              <w:t>Administrative requirements and appropriate approvals include:</w:t>
            </w:r>
          </w:p>
          <w:p w:rsidR="00000000" w:rsidRPr="006A0A2F" w:rsidP="006A0A2F">
            <w:pPr>
              <w:pStyle w:val="ListBullet"/>
            </w:pPr>
            <w:r w:rsidRPr="006A0A2F">
              <w:t>travel requisitions and insurance</w:t>
            </w:r>
          </w:p>
          <w:p w:rsidR="00000000" w:rsidRPr="006A0A2F" w:rsidP="006A0A2F">
            <w:pPr>
              <w:pStyle w:val="ListBullet"/>
            </w:pPr>
            <w:r w:rsidRPr="006A0A2F">
              <w:t>authority for procurement of supplies</w:t>
            </w:r>
          </w:p>
          <w:p w:rsidR="00000000" w:rsidRPr="006A0A2F" w:rsidP="006A0A2F">
            <w:pPr>
              <w:pStyle w:val="ListBullet"/>
            </w:pPr>
            <w:r w:rsidRPr="006A0A2F">
              <w:t>use of vehicles and equipment</w:t>
            </w:r>
          </w:p>
          <w:p w:rsidR="00000000" w:rsidRPr="006A0A2F" w:rsidP="006A0A2F">
            <w:pPr>
              <w:pStyle w:val="ListBullet"/>
            </w:pPr>
            <w:r w:rsidRPr="006A0A2F">
              <w:t>access permits</w:t>
            </w:r>
          </w:p>
          <w:p w:rsidR="00000000" w:rsidP="006A0A2F">
            <w:pPr>
              <w:pStyle w:val="BodyText"/>
              <w:rPr>
                <w:lang w:val="en-NZ"/>
              </w:rPr>
            </w:pPr>
          </w:p>
        </w:tc>
      </w:tr>
      <w:tr w:rsidTr="006E5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rPr>
                <w:rStyle w:val="SpecialBold"/>
              </w:rPr>
              <w:t xml:space="preserve">Site hazards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2F" w:rsidP="006A0A2F">
            <w:pPr>
              <w:pStyle w:val="BodyText"/>
            </w:pPr>
            <w:r w:rsidRPr="006A0A2F">
              <w:t xml:space="preserve">Site hazards include, but are not limited to, one or more of: </w:t>
            </w:r>
          </w:p>
          <w:p w:rsidR="00000000" w:rsidRPr="006A0A2F" w:rsidP="006A0A2F">
            <w:pPr>
              <w:pStyle w:val="ListBullet"/>
            </w:pPr>
            <w:r w:rsidRPr="006A0A2F">
              <w:t>dust and noise</w:t>
            </w:r>
          </w:p>
          <w:p w:rsidR="00000000" w:rsidRPr="006A0A2F" w:rsidP="006A0A2F">
            <w:pPr>
              <w:pStyle w:val="ListBullet"/>
            </w:pPr>
            <w:r w:rsidRPr="006A0A2F">
              <w:t>extreme weather (e.g. sunlight, wind, hail,</w:t>
            </w:r>
            <w:r w:rsidRPr="006A0A2F">
              <w:t xml:space="preserve"> rain and heat)</w:t>
            </w:r>
          </w:p>
          <w:p w:rsidR="00000000" w:rsidRPr="006A0A2F" w:rsidP="006A0A2F">
            <w:pPr>
              <w:pStyle w:val="ListBullet"/>
            </w:pPr>
            <w:r w:rsidRPr="006A0A2F">
              <w:t>manual handling of heavy equipment or materials</w:t>
            </w:r>
          </w:p>
          <w:p w:rsidR="00000000" w:rsidRPr="006A0A2F" w:rsidP="006A0A2F">
            <w:pPr>
              <w:pStyle w:val="ListBullet"/>
            </w:pPr>
            <w:r w:rsidRPr="006A0A2F">
              <w:t>crushing, entanglement and cuts associated with moving machinery</w:t>
            </w:r>
          </w:p>
          <w:p w:rsidR="00000000" w:rsidRPr="006A0A2F" w:rsidP="006A0A2F">
            <w:pPr>
              <w:pStyle w:val="ListBullet"/>
            </w:pPr>
            <w:r w:rsidRPr="006A0A2F">
              <w:t>vehicular traffic on roads and sites</w:t>
            </w:r>
          </w:p>
          <w:p w:rsidR="00000000" w:rsidRPr="006A0A2F" w:rsidP="006A0A2F">
            <w:pPr>
              <w:pStyle w:val="ListBullet"/>
            </w:pPr>
            <w:r w:rsidRPr="006A0A2F">
              <w:t>injuries caused by falling objects and working conditions, such as uneven surfaces, height</w:t>
            </w:r>
            <w:r w:rsidRPr="006A0A2F">
              <w:t>s, slopes, wet surfaces, trenches and confined spaces</w:t>
            </w:r>
          </w:p>
          <w:p w:rsidR="00000000" w:rsidRPr="006A0A2F" w:rsidP="006A0A2F">
            <w:pPr>
              <w:pStyle w:val="ListBullet"/>
            </w:pPr>
            <w:r w:rsidRPr="006A0A2F">
              <w:t>nuclear density/moisture gauges and industrial X-ray equipment</w:t>
            </w:r>
          </w:p>
          <w:p w:rsidR="00000000" w:rsidRPr="006A0A2F" w:rsidP="006A0A2F">
            <w:pPr>
              <w:pStyle w:val="ListBullet"/>
            </w:pPr>
            <w:r w:rsidRPr="006A0A2F">
              <w:t>driving vehicles over long distances, in rural or remote areas and over difficult terrain</w:t>
            </w:r>
          </w:p>
          <w:p w:rsidR="00000000" w:rsidRPr="006A0A2F" w:rsidP="006A0A2F">
            <w:pPr>
              <w:pStyle w:val="ListBullet"/>
            </w:pPr>
            <w:r w:rsidRPr="006A0A2F">
              <w:t>fatigue</w:t>
            </w:r>
          </w:p>
          <w:p w:rsidR="00000000" w:rsidP="006A0A2F">
            <w:pPr>
              <w:pStyle w:val="BodyText"/>
              <w:rPr>
                <w:lang w:val="en-NZ"/>
              </w:rPr>
            </w:pPr>
          </w:p>
        </w:tc>
      </w:tr>
      <w:tr w:rsidTr="006E5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rPr>
                <w:rStyle w:val="SpecialBold"/>
              </w:rPr>
              <w:t xml:space="preserve">Safe work procedures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2F" w:rsidP="006A0A2F">
            <w:pPr>
              <w:pStyle w:val="BodyText"/>
            </w:pPr>
            <w:r w:rsidRPr="006A0A2F">
              <w:t xml:space="preserve">Safe work procedures include, but are not limited to, one or more of: </w:t>
            </w:r>
          </w:p>
          <w:p w:rsidR="00000000" w:rsidRPr="006A0A2F" w:rsidP="006A0A2F">
            <w:pPr>
              <w:pStyle w:val="ListBullet"/>
            </w:pPr>
            <w:r w:rsidRPr="006A0A2F">
              <w:t>use of site safety plans and MSDS</w:t>
            </w:r>
          </w:p>
          <w:p w:rsidR="00000000" w:rsidRPr="006A0A2F" w:rsidP="006A0A2F">
            <w:pPr>
              <w:pStyle w:val="ListBullet"/>
            </w:pPr>
            <w:r w:rsidRPr="006A0A2F">
              <w:t>use of signage, barriers, flashing lights and traffic control</w:t>
            </w:r>
          </w:p>
          <w:p w:rsidR="00000000" w:rsidRPr="006A0A2F" w:rsidP="006A0A2F">
            <w:pPr>
              <w:pStyle w:val="ListBullet"/>
            </w:pPr>
            <w:r w:rsidRPr="006A0A2F">
              <w:t>use of PPE, such as hard hats, hearing protection, gloves, goggles, coveralls and safety</w:t>
            </w:r>
            <w:r w:rsidRPr="006A0A2F">
              <w:t xml:space="preserve"> boots</w:t>
            </w:r>
          </w:p>
          <w:p w:rsidR="00000000" w:rsidRPr="006A0A2F" w:rsidP="006A0A2F">
            <w:pPr>
              <w:pStyle w:val="ListBullet"/>
            </w:pPr>
            <w:r w:rsidRPr="006A0A2F">
              <w:t>handling and storing hazardous material and equipment in accordance with labels, MSDS, manufacturer instructions, and workplace procedures and regulations</w:t>
            </w:r>
          </w:p>
          <w:p w:rsidR="00000000" w:rsidRPr="006A0A2F" w:rsidP="006A0A2F">
            <w:pPr>
              <w:pStyle w:val="ListBullet"/>
            </w:pPr>
            <w:r w:rsidRPr="006A0A2F">
              <w:t>regularly cleaning equipment and vehicles</w:t>
            </w:r>
          </w:p>
          <w:p w:rsidR="00000000" w:rsidRPr="006A0A2F" w:rsidP="006A0A2F">
            <w:pPr>
              <w:pStyle w:val="ListBullet"/>
            </w:pPr>
            <w:r w:rsidRPr="006A0A2F">
              <w:t>following established manual handling procedures</w:t>
            </w:r>
          </w:p>
          <w:p w:rsidR="00000000" w:rsidP="006A0A2F">
            <w:pPr>
              <w:pStyle w:val="BodyText"/>
              <w:rPr>
                <w:lang w:val="en-NZ"/>
              </w:rPr>
            </w:pPr>
          </w:p>
        </w:tc>
      </w:tr>
      <w:tr w:rsidTr="006E5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rPr>
                <w:rStyle w:val="SpecialBold"/>
              </w:rPr>
              <w:t>Minimising environmental impacts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2F" w:rsidP="006A0A2F">
            <w:pPr>
              <w:pStyle w:val="BodyText"/>
            </w:pPr>
            <w:r w:rsidRPr="006A0A2F">
              <w:t>Minimising environmental impacts include, but is not limited to, one or more of:</w:t>
            </w:r>
          </w:p>
          <w:p w:rsidR="00000000" w:rsidRPr="006A0A2F" w:rsidP="006A0A2F">
            <w:pPr>
              <w:pStyle w:val="ListBullet"/>
            </w:pPr>
            <w:r w:rsidRPr="006A0A2F">
              <w:t>damage from movement of vehicles</w:t>
            </w:r>
          </w:p>
          <w:p w:rsidR="00000000" w:rsidRPr="006A0A2F" w:rsidP="006A0A2F">
            <w:pPr>
              <w:pStyle w:val="ListBullet"/>
            </w:pPr>
            <w:r w:rsidRPr="006A0A2F">
              <w:t>disposal of surplus or spent or materials</w:t>
            </w:r>
          </w:p>
          <w:p w:rsidR="00000000" w:rsidRPr="006A0A2F" w:rsidP="006A0A2F">
            <w:pPr>
              <w:pStyle w:val="ListBullet"/>
            </w:pPr>
            <w:r w:rsidRPr="006A0A2F">
              <w:t>containing run-off of water</w:t>
            </w:r>
          </w:p>
          <w:p w:rsidR="00000000" w:rsidRPr="006A0A2F" w:rsidP="006A0A2F">
            <w:pPr>
              <w:pStyle w:val="ListBullet"/>
            </w:pPr>
            <w:r w:rsidRPr="006A0A2F">
              <w:t>recycling of wastes</w:t>
            </w:r>
          </w:p>
          <w:p w:rsidR="00000000" w:rsidRPr="006A0A2F" w:rsidP="006A0A2F">
            <w:pPr>
              <w:pStyle w:val="ListBullet"/>
            </w:pPr>
            <w:r w:rsidRPr="006A0A2F">
              <w:t>compliance with qu</w:t>
            </w:r>
            <w:r w:rsidRPr="006A0A2F">
              <w:t>arantine requirements, including cleaning of vehicles to prevent transfer of pests (e.g. fire ants and seeds) and contaminants</w:t>
            </w:r>
          </w:p>
          <w:p w:rsidR="00000000" w:rsidRPr="006A0A2F" w:rsidP="006A0A2F">
            <w:pPr>
              <w:pStyle w:val="ListBullet"/>
            </w:pPr>
            <w:r w:rsidRPr="006A0A2F">
              <w:t>compliance with environmental, cultural and heritage protection requirements</w:t>
            </w:r>
          </w:p>
          <w:p w:rsidR="00000000" w:rsidP="006A0A2F">
            <w:pPr>
              <w:pStyle w:val="BodyText"/>
              <w:rPr>
                <w:lang w:val="en-NZ"/>
              </w:rPr>
            </w:pPr>
          </w:p>
        </w:tc>
      </w:tr>
      <w:tr w:rsidTr="006E5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2F">
            <w:pPr>
              <w:pStyle w:val="BodyText"/>
              <w:rPr>
                <w:lang w:val="en-NZ"/>
              </w:rPr>
            </w:pPr>
            <w:r w:rsidRPr="006A0A2F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2F" w:rsidP="006A0A2F">
            <w:pPr>
              <w:pStyle w:val="BodyText"/>
            </w:pPr>
            <w:r w:rsidRPr="006A0A2F">
              <w:t>WHS</w:t>
            </w:r>
            <w:r w:rsidRPr="006A0A2F">
              <w:t xml:space="preserve"> and environmental management requirements include:</w:t>
            </w:r>
          </w:p>
          <w:p w:rsidR="00000000" w:rsidRPr="006A0A2F" w:rsidP="006A0A2F">
            <w:pPr>
              <w:pStyle w:val="BodyText"/>
            </w:pPr>
            <w:r w:rsidRPr="006A0A2F">
              <w:rPr>
                <w:rStyle w:val="Symbols"/>
              </w:rPr>
              <w:t></w:t>
            </w:r>
            <w:r w:rsidRPr="006A0A2F">
              <w:rPr>
                <w:rStyle w:val="Symbols"/>
              </w:rPr>
              <w:tab/>
            </w:r>
            <w:r w:rsidRPr="006A0A2F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6A0A2F" w:rsidP="006A0A2F">
            <w:pPr>
              <w:pStyle w:val="BodyText"/>
            </w:pPr>
            <w:r w:rsidRPr="006A0A2F">
              <w:rPr>
                <w:rStyle w:val="Symbols"/>
              </w:rPr>
              <w:t></w:t>
            </w:r>
            <w:r w:rsidRPr="006A0A2F">
              <w:rPr>
                <w:rStyle w:val="Symbols"/>
              </w:rPr>
              <w:tab/>
            </w:r>
            <w:r w:rsidRPr="006A0A2F">
              <w:t>a</w:t>
            </w:r>
            <w:r w:rsidRPr="006A0A2F">
              <w:t>pplying standard precautions relating to the potentially hazardous nature of samples</w:t>
            </w:r>
          </w:p>
          <w:p w:rsidR="00000000" w:rsidRPr="006A0A2F" w:rsidP="006A0A2F">
            <w:pPr>
              <w:pStyle w:val="BodyText"/>
            </w:pPr>
          </w:p>
        </w:tc>
      </w:tr>
    </w:tbl>
    <w:p w:rsidR="00000000" w:rsidRPr="006A0A2F" w:rsidP="006A0A2F">
      <w:pPr>
        <w:pStyle w:val="BodyText"/>
      </w:pPr>
    </w:p>
    <w:p w:rsidR="00000000" w:rsidRPr="006A0A2F" w:rsidP="006A0A2F">
      <w:pPr>
        <w:pStyle w:val="AllowPageBreak"/>
      </w:pPr>
    </w:p>
    <w:p w:rsidR="00000000" w:rsidRPr="006A0A2F" w:rsidP="006A0A2F">
      <w:pPr>
        <w:pStyle w:val="Heading1"/>
      </w:pPr>
      <w:bookmarkStart w:id="9" w:name="O_900382"/>
      <w:bookmarkEnd w:id="9"/>
      <w:r w:rsidRPr="006A0A2F">
        <w:t>Unit Mapping Information</w:t>
      </w:r>
    </w:p>
    <w:p w:rsidR="00000000" w:rsidRPr="006A0A2F" w:rsidP="006A0A2F">
      <w:pPr>
        <w:pStyle w:val="BodyText"/>
      </w:pPr>
      <w:r w:rsidRPr="006A0A2F">
        <w:t>Release 1. Supersedes and is equivalent to MSL974013A Monitor performance of structures</w:t>
      </w:r>
    </w:p>
    <w:p w:rsidR="00000000" w:rsidRPr="006A0A2F" w:rsidP="006A0A2F">
      <w:pPr>
        <w:pStyle w:val="AllowPageBreak"/>
      </w:pPr>
    </w:p>
    <w:p w:rsidR="00000000" w:rsidRPr="006A0A2F" w:rsidP="006A0A2F">
      <w:pPr>
        <w:pStyle w:val="Heading1"/>
      </w:pPr>
      <w:bookmarkStart w:id="10" w:name="O_900373"/>
      <w:bookmarkEnd w:id="10"/>
      <w:r w:rsidRPr="006A0A2F">
        <w:t>Links</w:t>
      </w:r>
    </w:p>
    <w:p w:rsidR="00000000" w:rsidRPr="006A0A2F" w:rsidP="006A0A2F">
      <w:pPr>
        <w:pStyle w:val="BodyText"/>
      </w:pPr>
      <w:r w:rsidRPr="006A0A2F">
        <w:t>MSA Training Package Implementation Guides - http://mskills.org.au/training-packages/info/</w:t>
      </w:r>
    </w:p>
    <w:p w:rsidR="00000000" w:rsidRPr="006A0A2F" w:rsidP="006A0A2F"/>
    <w:sectPr w:rsidSect="006A0A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2F" w:rsidRPr="006E5E13" w:rsidP="006E5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E13" w:rsidP="006A0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E5E13" w:rsidP="006A0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E5E13" w:rsidP="006A0A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2F" w:rsidRPr="006E5E13" w:rsidP="006E5E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E13" w:rsidRPr="002D2AF8" w:rsidP="006A0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MSL974013 Monitor performance of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6E5E13" w:rsidP="006A0A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104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5C0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36C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A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A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A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A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A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A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A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A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A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A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A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A2F"/>
  </w:style>
  <w:style w:type="character" w:customStyle="1" w:styleId="Heading1Char">
    <w:name w:val="Heading 1 Char"/>
    <w:basedOn w:val="DefaultParagraphFont"/>
    <w:link w:val="Heading1"/>
    <w:rsid w:val="006A0A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A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A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A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A2F"/>
    <w:rPr>
      <w:b/>
      <w:spacing w:val="0"/>
    </w:rPr>
  </w:style>
  <w:style w:type="paragraph" w:styleId="ListBullet2">
    <w:name w:val="List Bullet 2"/>
    <w:basedOn w:val="List2"/>
    <w:rsid w:val="006A0A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0A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A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6A0A2F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6A0A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A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A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A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A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A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A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A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A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A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A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A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A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A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A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A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A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A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A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A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A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A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A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A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A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A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A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A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A2F"/>
    <w:rPr>
      <w:i/>
    </w:rPr>
  </w:style>
  <w:style w:type="paragraph" w:styleId="Caption">
    <w:name w:val="caption"/>
    <w:basedOn w:val="BodyText"/>
    <w:next w:val="Normal"/>
    <w:qFormat/>
    <w:rsid w:val="006A0A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A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A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A2F"/>
  </w:style>
  <w:style w:type="paragraph" w:styleId="TableofFigures">
    <w:name w:val="table of figures"/>
    <w:basedOn w:val="Normal"/>
    <w:next w:val="Normal"/>
    <w:semiHidden/>
    <w:rsid w:val="006A0A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A2F"/>
    <w:pPr>
      <w:numPr>
        <w:numId w:val="11"/>
      </w:numPr>
    </w:pPr>
  </w:style>
  <w:style w:type="character" w:customStyle="1" w:styleId="WingdingSymbols">
    <w:name w:val="Wingding Symbols"/>
    <w:rsid w:val="006A0A2F"/>
    <w:rPr>
      <w:rFonts w:ascii="Wingdings" w:hAnsi="Wingdings"/>
    </w:rPr>
  </w:style>
  <w:style w:type="paragraph" w:customStyle="1" w:styleId="TableHeading">
    <w:name w:val="Table Heading"/>
    <w:basedOn w:val="HeadingBase"/>
    <w:rsid w:val="006A0A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A2F"/>
    <w:rPr>
      <w:color w:val="0033CC"/>
      <w:u w:val="none"/>
    </w:rPr>
  </w:style>
  <w:style w:type="paragraph" w:customStyle="1" w:styleId="BodyTextRight">
    <w:name w:val="Body Text Right"/>
    <w:basedOn w:val="BodyText"/>
    <w:rsid w:val="006A0A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A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A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A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A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A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A2F"/>
    <w:rPr>
      <w:sz w:val="32"/>
    </w:rPr>
  </w:style>
  <w:style w:type="paragraph" w:customStyle="1" w:styleId="HeadingProcedure">
    <w:name w:val="Heading Procedure"/>
    <w:basedOn w:val="HeadingBase"/>
    <w:next w:val="Normal"/>
    <w:rsid w:val="006A0A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A2F"/>
    <w:pPr>
      <w:spacing w:before="60" w:after="60"/>
    </w:pPr>
  </w:style>
  <w:style w:type="paragraph" w:styleId="ListContinue">
    <w:name w:val="List Continue"/>
    <w:basedOn w:val="List"/>
    <w:rsid w:val="006A0A2F"/>
    <w:pPr>
      <w:ind w:firstLine="0"/>
    </w:pPr>
  </w:style>
  <w:style w:type="paragraph" w:customStyle="1" w:styleId="ListNote">
    <w:name w:val="List Note"/>
    <w:basedOn w:val="List"/>
    <w:rsid w:val="006A0A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A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A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A2F"/>
    <w:rPr>
      <w:rFonts w:ascii="Courier New" w:hAnsi="Courier New"/>
    </w:rPr>
  </w:style>
  <w:style w:type="paragraph" w:customStyle="1" w:styleId="NoteBullet">
    <w:name w:val="Note Bullet"/>
    <w:basedOn w:val="Note"/>
    <w:rsid w:val="006A0A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A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A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A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A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0A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A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A2F"/>
    <w:rPr>
      <w:b/>
      <w:smallCaps/>
    </w:rPr>
  </w:style>
  <w:style w:type="paragraph" w:customStyle="1" w:styleId="TableListNumber">
    <w:name w:val="Table List Number"/>
    <w:basedOn w:val="ListNumber"/>
    <w:rsid w:val="006A0A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A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A2F"/>
    <w:pPr>
      <w:numPr>
        <w:numId w:val="9"/>
      </w:numPr>
    </w:pPr>
  </w:style>
  <w:style w:type="paragraph" w:customStyle="1" w:styleId="ListAlpha2">
    <w:name w:val="List Alpha 2"/>
    <w:basedOn w:val="List2"/>
    <w:rsid w:val="006A0A2F"/>
    <w:pPr>
      <w:numPr>
        <w:numId w:val="8"/>
      </w:numPr>
    </w:pPr>
  </w:style>
  <w:style w:type="paragraph" w:styleId="List2">
    <w:name w:val="List 2"/>
    <w:basedOn w:val="BodyText"/>
    <w:rsid w:val="006A0A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A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A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A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A2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A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A2F"/>
    <w:pPr>
      <w:numPr>
        <w:numId w:val="4"/>
      </w:numPr>
    </w:pPr>
  </w:style>
  <w:style w:type="paragraph" w:styleId="ListContinue2">
    <w:name w:val="List Continue 2"/>
    <w:basedOn w:val="List2"/>
    <w:rsid w:val="006A0A2F"/>
    <w:pPr>
      <w:ind w:firstLine="0"/>
    </w:pPr>
  </w:style>
  <w:style w:type="paragraph" w:styleId="ListContinue3">
    <w:name w:val="List Continue 3"/>
    <w:basedOn w:val="List3"/>
    <w:rsid w:val="006A0A2F"/>
    <w:pPr>
      <w:ind w:left="1021" w:firstLine="0"/>
    </w:pPr>
  </w:style>
  <w:style w:type="paragraph" w:styleId="ListContinue4">
    <w:name w:val="List Continue 4"/>
    <w:basedOn w:val="List4"/>
    <w:rsid w:val="006A0A2F"/>
    <w:pPr>
      <w:ind w:firstLine="0"/>
    </w:pPr>
  </w:style>
  <w:style w:type="paragraph" w:styleId="ListContinue5">
    <w:name w:val="List Continue 5"/>
    <w:basedOn w:val="List5"/>
    <w:rsid w:val="006A0A2F"/>
    <w:pPr>
      <w:ind w:firstLine="0"/>
    </w:pPr>
  </w:style>
  <w:style w:type="paragraph" w:styleId="ListNumber3">
    <w:name w:val="List Number 3"/>
    <w:basedOn w:val="List3"/>
    <w:rsid w:val="006A0A2F"/>
    <w:pPr>
      <w:numPr>
        <w:numId w:val="5"/>
      </w:numPr>
    </w:pPr>
  </w:style>
  <w:style w:type="paragraph" w:styleId="ListNumber4">
    <w:name w:val="List Number 4"/>
    <w:basedOn w:val="List4"/>
    <w:rsid w:val="006A0A2F"/>
    <w:pPr>
      <w:numPr>
        <w:numId w:val="6"/>
      </w:numPr>
    </w:pPr>
  </w:style>
  <w:style w:type="paragraph" w:styleId="ListNumber5">
    <w:name w:val="List Number 5"/>
    <w:basedOn w:val="List5"/>
    <w:rsid w:val="006A0A2F"/>
    <w:pPr>
      <w:numPr>
        <w:numId w:val="7"/>
      </w:numPr>
    </w:pPr>
  </w:style>
  <w:style w:type="paragraph" w:styleId="BlockText">
    <w:name w:val="Block Text"/>
    <w:basedOn w:val="Normal"/>
    <w:rsid w:val="006A0A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A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A2F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6A0A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A2F"/>
    <w:rPr>
      <w:b/>
    </w:rPr>
  </w:style>
  <w:style w:type="character" w:customStyle="1" w:styleId="Underlined">
    <w:name w:val="Underlined"/>
    <w:basedOn w:val="DefaultParagraphFont"/>
    <w:rsid w:val="006A0A2F"/>
    <w:rPr>
      <w:u w:val="single"/>
    </w:rPr>
  </w:style>
  <w:style w:type="paragraph" w:customStyle="1" w:styleId="TableBodyTextRight">
    <w:name w:val="Table Body Text Right"/>
    <w:basedOn w:val="TableBodyText"/>
    <w:rsid w:val="006A0A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A2F"/>
    <w:rPr>
      <w:sz w:val="18"/>
    </w:rPr>
  </w:style>
  <w:style w:type="paragraph" w:customStyle="1" w:styleId="BodySmallRight">
    <w:name w:val="Body Small Right"/>
    <w:basedOn w:val="BodyTextRight"/>
    <w:rsid w:val="006A0A2F"/>
    <w:rPr>
      <w:sz w:val="18"/>
      <w:szCs w:val="18"/>
    </w:rPr>
  </w:style>
  <w:style w:type="paragraph" w:customStyle="1" w:styleId="MarginEdition">
    <w:name w:val="Margin Edition"/>
    <w:basedOn w:val="MarginNote"/>
    <w:rsid w:val="006A0A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A2F"/>
    <w:rPr>
      <w:sz w:val="2"/>
      <w:szCs w:val="2"/>
    </w:rPr>
  </w:style>
  <w:style w:type="character" w:customStyle="1" w:styleId="Small">
    <w:name w:val="Small"/>
    <w:basedOn w:val="DefaultParagraphFont"/>
    <w:rsid w:val="006A0A2F"/>
    <w:rPr>
      <w:sz w:val="16"/>
    </w:rPr>
  </w:style>
  <w:style w:type="paragraph" w:customStyle="1" w:styleId="WideTable">
    <w:name w:val="Wide Table"/>
    <w:basedOn w:val="Normal"/>
    <w:rsid w:val="006A0A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A2F"/>
  </w:style>
  <w:style w:type="paragraph" w:styleId="Quote">
    <w:name w:val="Quote"/>
    <w:basedOn w:val="Heading1"/>
    <w:link w:val="QuoteChar"/>
    <w:qFormat/>
    <w:rsid w:val="006A0A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A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A2F"/>
    <w:pPr>
      <w:pageBreakBefore/>
    </w:pPr>
  </w:style>
  <w:style w:type="paragraph" w:customStyle="1" w:styleId="Border">
    <w:name w:val="Border"/>
    <w:basedOn w:val="Normal"/>
    <w:qFormat/>
    <w:rsid w:val="006A0A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A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A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A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A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A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A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A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A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A2F"/>
    <w:rPr>
      <w:u w:val="single"/>
    </w:rPr>
  </w:style>
  <w:style w:type="character" w:customStyle="1" w:styleId="BoldandItalics">
    <w:name w:val="Bold and Italics"/>
    <w:qFormat/>
    <w:rsid w:val="006A0A2F"/>
    <w:rPr>
      <w:b/>
      <w:i/>
      <w:u w:val="none"/>
    </w:rPr>
  </w:style>
  <w:style w:type="paragraph" w:styleId="BalloonText">
    <w:name w:val="Balloon Text"/>
    <w:basedOn w:val="Normal"/>
    <w:link w:val="BalloonTextChar"/>
    <w:rsid w:val="006A0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A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A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A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A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A2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1320</Words>
  <Characters>8527</Characters>
  <Application>Microsoft Office Word</Application>
  <DocSecurity>0</DocSecurity>
  <Lines>351</Lines>
  <Paragraphs>160</Paragraphs>
  <ScaleCrop>false</ScaleCrop>
  <Company>Author-it Software Corporation Ltd.</Company>
  <LinksUpToDate>false</LinksUpToDate>
  <CharactersWithSpaces>9739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MSL974013 Monitor performance of structures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2016-03-01T06:30:00Z</dcterms:created>
  <dcterms:modified xsi:type="dcterms:W3CDTF">2016-03-01T06:30:00Z</dcterms:modified>
</cp:coreProperties>
</file>