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4E2" w:rsidP="001124E2">
      <w:pPr>
        <w:pStyle w:val="Title"/>
      </w:pPr>
      <w:r>
        <w:fldChar w:fldCharType="begin"/>
      </w:r>
      <w:r>
        <w:instrText xml:space="preserve"> TITLE   \* MERGEFORMAT </w:instrText>
      </w:r>
      <w:r>
        <w:fldChar w:fldCharType="separate"/>
      </w:r>
      <w:r>
        <w:t>MSL974013 Monitor performance of structures</w:t>
      </w:r>
      <w:r>
        <w:fldChar w:fldCharType="end"/>
      </w:r>
    </w:p>
    <w:p w:rsidR="001124E2" w:rsidP="001124E2">
      <w:pPr>
        <w:pStyle w:val="Version"/>
        <w:sectPr w:rsidSect="00D21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D69" w:rsidP="00D21D69">
      <w:pPr>
        <w:pStyle w:val="SuperHeading"/>
      </w:pPr>
      <w:r w:rsidRPr="00D21D69">
        <w:t>MSL974013 Monitor performance of structures</w:t>
      </w:r>
    </w:p>
    <w:p w:rsidR="00000000" w:rsidRPr="00D21D69" w:rsidP="00D21D69">
      <w:pPr>
        <w:pStyle w:val="Heading1"/>
      </w:pPr>
      <w:bookmarkStart w:id="1" w:name="O_900381"/>
      <w:bookmarkEnd w:id="1"/>
      <w:r w:rsidRPr="00D21D69">
        <w:t>Modification History</w:t>
      </w:r>
    </w:p>
    <w:p w:rsidR="00000000" w:rsidRPr="00D21D69" w:rsidP="001124E2">
      <w:pPr>
        <w:pStyle w:val="BodyText"/>
      </w:pPr>
      <w:r w:rsidRPr="00D21D69">
        <w:t>Release 1. Supersedes and is equivalent to MSL974013A Monitor performance of structures</w:t>
      </w:r>
    </w:p>
    <w:p w:rsidR="00000000" w:rsidRPr="00D21D69" w:rsidP="00D21D69">
      <w:pPr>
        <w:pStyle w:val="Heading1"/>
      </w:pPr>
      <w:bookmarkStart w:id="2" w:name="O_900389"/>
      <w:bookmarkEnd w:id="2"/>
      <w:r w:rsidRPr="00D21D69">
        <w:t>Application</w:t>
      </w:r>
    </w:p>
    <w:p w:rsidR="00000000" w:rsidRPr="00D21D69" w:rsidP="001124E2">
      <w:pPr>
        <w:pStyle w:val="BodyText"/>
      </w:pPr>
      <w:r w:rsidRPr="00D21D69">
        <w:t xml:space="preserve">This unit of competency covers the ability to monitor civil engineering structures (such as roads, dams, embankments, </w:t>
      </w:r>
      <w:r w:rsidRPr="00D21D69">
        <w:t>open cut faces, bridges, tunnels, towers and other concrete/steel erections) to measure their performance, confirm design parameters or measure the effects of improvements or rehabilitation. The unit involves confirming the requirements of the monitoring a</w:t>
      </w:r>
      <w:r w:rsidRPr="00D21D69">
        <w:t>ctivities, liaising with site personnel, performing monitoring activities, setting up monitoring equipment, collecting reliable data and reporting results. Personnel are also expected to interpret results in the field, recognise/rectify obvious errors or u</w:t>
      </w:r>
      <w:r w:rsidRPr="00D21D69">
        <w:t>nexpected results and troubleshoot common problems.</w:t>
      </w:r>
    </w:p>
    <w:p w:rsidR="00000000" w:rsidRPr="00D21D69" w:rsidP="001124E2">
      <w:pPr>
        <w:pStyle w:val="BodyText"/>
      </w:pPr>
      <w:r w:rsidRPr="00D21D69">
        <w:t>This unit of competency is applicable to laboratory personnel working in the geotechnical, construction material testing, civil engineering and mining industry sectors.</w:t>
      </w:r>
    </w:p>
    <w:p w:rsidR="00000000" w:rsidRPr="00D21D69" w:rsidP="001124E2">
      <w:pPr>
        <w:pStyle w:val="BodyText"/>
      </w:pPr>
      <w:r w:rsidRPr="00D21D69">
        <w:t>While no specific licensing or ce</w:t>
      </w:r>
      <w:r w:rsidRPr="00D21D69">
        <w:t>rtification requirements apply to this unit at the time of publication, laboratory operations are governed by relevant legislation, regulations and/or external accreditation requirements. Local requirements should be checked.</w:t>
      </w:r>
    </w:p>
    <w:p w:rsidR="00000000" w:rsidRPr="00D21D69" w:rsidP="00D21D69">
      <w:pPr>
        <w:pStyle w:val="Heading1"/>
      </w:pPr>
      <w:bookmarkStart w:id="3" w:name="O_900388"/>
      <w:bookmarkEnd w:id="3"/>
      <w:r w:rsidRPr="00D21D69">
        <w:t>Pre-requisite</w:t>
      </w:r>
      <w:r w:rsidRPr="00D21D69">
        <w:t xml:space="preserve"> Unit</w:t>
      </w:r>
    </w:p>
    <w:tbl>
      <w:tblPr>
        <w:tblW w:w="0" w:type="auto"/>
        <w:tblCellMar>
          <w:left w:w="62" w:type="dxa"/>
          <w:right w:w="62" w:type="dxa"/>
        </w:tblCellMar>
        <w:tblLook w:val="0000"/>
      </w:tblPr>
      <w:tblGrid>
        <w:gridCol w:w="2163"/>
        <w:gridCol w:w="7033"/>
      </w:tblGrid>
      <w:tr w:rsidTr="00112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MSL973009</w:t>
            </w:r>
          </w:p>
        </w:tc>
        <w:tc>
          <w:tcPr>
            <w:tcW w:w="0" w:type="auto"/>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Conduct field-based acceptance tests for construction materials</w:t>
            </w:r>
          </w:p>
        </w:tc>
      </w:tr>
    </w:tbl>
    <w:p w:rsidR="00000000" w:rsidRPr="00D21D69" w:rsidP="00D21D69">
      <w:pPr>
        <w:pStyle w:val="BodyText"/>
      </w:pPr>
    </w:p>
    <w:p w:rsidR="00000000" w:rsidRPr="00D21D69" w:rsidP="00D21D69">
      <w:pPr>
        <w:pStyle w:val="AllowPageBreak"/>
      </w:pPr>
    </w:p>
    <w:p w:rsidR="00000000" w:rsidRPr="00D21D69" w:rsidP="00D21D69">
      <w:pPr>
        <w:pStyle w:val="Heading1"/>
      </w:pPr>
      <w:bookmarkStart w:id="4" w:name="O_900387"/>
      <w:bookmarkEnd w:id="4"/>
      <w:r w:rsidRPr="00D21D69">
        <w:t>Competency Field</w:t>
      </w:r>
    </w:p>
    <w:p w:rsidR="00000000" w:rsidRPr="00D21D69" w:rsidP="001124E2">
      <w:pPr>
        <w:pStyle w:val="BodyText"/>
      </w:pPr>
      <w:r w:rsidRPr="00D21D69">
        <w:t>Testing</w:t>
      </w:r>
    </w:p>
    <w:p w:rsidR="00000000" w:rsidRPr="00D21D69" w:rsidP="00D21D69">
      <w:pPr>
        <w:pStyle w:val="Heading1"/>
      </w:pPr>
      <w:bookmarkStart w:id="5" w:name="O_900386"/>
      <w:bookmarkEnd w:id="5"/>
      <w:r w:rsidRPr="00D21D69">
        <w:t>Unit Sector</w:t>
      </w:r>
    </w:p>
    <w:p w:rsidR="00000000" w:rsidRPr="00D21D69" w:rsidP="00D21D69">
      <w:pPr>
        <w:pStyle w:val="Heading1"/>
      </w:pPr>
      <w:bookmarkStart w:id="6" w:name="O_900385"/>
      <w:bookmarkEnd w:id="6"/>
      <w:r w:rsidRPr="00D21D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1D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Performan</w:t>
            </w:r>
            <w:r w:rsidRPr="00D21D69">
              <w:t>ce criteria describe the performance needed to demonstrate achievement of the element.</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1</w:t>
            </w:r>
          </w:p>
        </w:tc>
        <w:tc>
          <w:tcPr>
            <w:tcW w:w="1962" w:type="dxa"/>
            <w:vMerge w:val="restart"/>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 xml:space="preserve">Confirm </w:t>
            </w:r>
            <w:r w:rsidRPr="00D21D69">
              <w:rPr>
                <w:rStyle w:val="SpecialBold"/>
              </w:rPr>
              <w:t>requirements for monitoring activities</w:t>
            </w: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1.1</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 xml:space="preserve">Review job request to confirm the purpose and </w:t>
            </w:r>
            <w:r w:rsidRPr="00D21D69">
              <w:t>objectives of monitoring activities with supervising staff</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1.2</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Review emergency plans, site hazards, risk assessments, safe work procedures and environmental requirements, associated with the monitoring activities and site requirements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1.3</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Review any available data from previous monitoring at the site to identify e</w:t>
            </w:r>
            <w:r w:rsidRPr="00D21D69">
              <w:t>xpected values and any trends in results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1.4</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Liaise with client to arrange site access, confirm timing and clarify the need for permits, induction training or any other special requirements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1.5</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Confirm details of monitoring instruments to be used, pa</w:t>
            </w:r>
            <w:r w:rsidRPr="00D21D69">
              <w:t>rameters to be measured and the data formats required by users</w:t>
            </w:r>
          </w:p>
        </w:tc>
      </w:tr>
      <w:tr w:rsidTr="00D21D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D69">
            <w:pPr>
              <w:pStyle w:val="BodyText"/>
              <w:rPr>
                <w:lang w:val="en-NZ"/>
              </w:rPr>
            </w:pP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2</w:t>
            </w:r>
          </w:p>
        </w:tc>
        <w:tc>
          <w:tcPr>
            <w:tcW w:w="1962" w:type="dxa"/>
            <w:vMerge w:val="restart"/>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Prepare for monitoring activities</w:t>
            </w: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2.1</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Complete all administrative requirements and obtain appropriate approvals/permits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2.2</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Make appropriate travel arrangements to and from the site, as required</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2.3</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Assemble all required instruments, equipment and supplies and check that they are fit for purpose</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2.4</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Stow monitoring instruments, equipment and supplies to ensure their safe transport</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2.5</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Liaise with appropriate personnel on arrival at site to ensure safety and minimise disruption to other workers during monitoring</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2.6</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Complete site induction as nec</w:t>
            </w:r>
            <w:r w:rsidRPr="00D21D69">
              <w:t>essary</w:t>
            </w:r>
          </w:p>
        </w:tc>
      </w:tr>
      <w:tr w:rsidTr="00D21D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D69">
            <w:pPr>
              <w:pStyle w:val="BodyText"/>
              <w:rPr>
                <w:lang w:val="en-NZ"/>
              </w:rPr>
            </w:pP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3</w:t>
            </w:r>
          </w:p>
        </w:tc>
        <w:tc>
          <w:tcPr>
            <w:tcW w:w="1962" w:type="dxa"/>
            <w:vMerge w:val="restart"/>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Collect and verify monitoring data</w:t>
            </w: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3.1</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Use barriers and signage to control access to work area in accordance with workplace safety procedures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3.2</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Perform pre-use checks of instruments and trial measurements to ensure they are operating within specifications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3.3</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Identify location for monitoring in accordance with work instructions and/or test method</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3.4</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Operate instruments safely and in accordance with work instructions, test method, and/or manufacturer specifications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3.5</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Take sufficient measurements to ensure that data meets quality requirements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3.6</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Recognise obvious errors or atypical data and tak</w:t>
            </w:r>
            <w:r w:rsidRPr="00D21D69">
              <w:t>e appropriate corrective actions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3.7</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Recognise and record/photograph details of site conditions that may impact on data quality</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3.8</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Seek advice to deal with any situation beyond own technical competence</w:t>
            </w:r>
          </w:p>
        </w:tc>
      </w:tr>
      <w:tr w:rsidTr="00D21D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D69">
            <w:pPr>
              <w:pStyle w:val="BodyText"/>
              <w:rPr>
                <w:lang w:val="en-NZ"/>
              </w:rPr>
            </w:pP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4</w:t>
            </w:r>
          </w:p>
        </w:tc>
        <w:tc>
          <w:tcPr>
            <w:tcW w:w="1962" w:type="dxa"/>
            <w:vMerge w:val="restart"/>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Finalise monitoring activities</w:t>
            </w: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4.1</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Remove signage and barriers and reinstate all disturbed surfaces in accordance with workplace procedures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4.2</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Ensure all data are stored safely before shutdown of instrument/equipment</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4.3</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 xml:space="preserve">Clean all instruments and equipment (and vehicle as necessary) </w:t>
            </w:r>
            <w:r w:rsidRPr="00D21D69">
              <w:t>to avoid environmental damage, including stormwater run-off and/or transfer of pests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4.4</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Check that all instruments, equipment and supplies are present and undamaged before re-stowing them for safe transport</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4.5</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Notify appropriate site personnel on completion of monitoring activities and prior to leaving site</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4.6</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On return to base, check serviceability of instruments and equipment before storage</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4.7</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Download data into laboratory/workplace information managem</w:t>
            </w:r>
            <w:r w:rsidRPr="00D21D69">
              <w:t>ent system in accordance with workplace procedures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4.8</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Complete site safety plans, instrument/equipment logs and test reports in accordance with workplace procedures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4.9</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Notify supervising staff upon completion of activities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4.10</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Report any significant issues arising from monitoring activities to appropriate personnel</w:t>
            </w:r>
          </w:p>
        </w:tc>
      </w:tr>
      <w:tr w:rsidTr="00D21D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D69">
            <w:pPr>
              <w:pStyle w:val="BodyText"/>
              <w:rPr>
                <w:lang w:val="en-NZ"/>
              </w:rPr>
            </w:pP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5</w:t>
            </w:r>
          </w:p>
        </w:tc>
        <w:tc>
          <w:tcPr>
            <w:tcW w:w="1962" w:type="dxa"/>
            <w:vMerge w:val="restart"/>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5.1</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Use safe work procedures and personal protective equipment (PPE) to ensure personal safety and that of others</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5.2</w:t>
            </w:r>
          </w:p>
        </w:tc>
        <w:tc>
          <w:tcPr>
            <w:tcW w:w="561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Minimise environmental impacts of monitoring activities and generation of waste</w:t>
            </w:r>
          </w:p>
        </w:tc>
      </w:tr>
      <w:tr w:rsidTr="00D21D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5.3</w:t>
            </w:r>
          </w:p>
        </w:tc>
        <w:tc>
          <w:tcPr>
            <w:tcW w:w="5610" w:type="dxa"/>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Collect and/or dispose of all waste in accordance with environmental/quarantine requirements and workplace procedures</w:t>
            </w:r>
          </w:p>
        </w:tc>
      </w:tr>
    </w:tbl>
    <w:p w:rsidR="00000000" w:rsidRPr="00D21D69" w:rsidP="00D21D69">
      <w:pPr>
        <w:pStyle w:val="BodyText"/>
      </w:pPr>
    </w:p>
    <w:p w:rsidR="00000000" w:rsidRPr="00D21D69" w:rsidP="00D21D69">
      <w:pPr>
        <w:pStyle w:val="AllowPageBreak"/>
      </w:pPr>
    </w:p>
    <w:p w:rsidR="00000000" w:rsidRPr="00D21D69" w:rsidP="00D21D69">
      <w:pPr>
        <w:pStyle w:val="Heading1"/>
      </w:pPr>
      <w:bookmarkStart w:id="7" w:name="O_900384"/>
      <w:bookmarkEnd w:id="7"/>
      <w:r w:rsidRPr="00D21D69">
        <w:t>Foundation Skills</w:t>
      </w:r>
    </w:p>
    <w:p w:rsidR="00000000" w:rsidRPr="00D21D69" w:rsidP="001124E2">
      <w:pPr>
        <w:pStyle w:val="BodyText"/>
      </w:pPr>
      <w:r w:rsidRPr="00D21D69">
        <w:t>This section describes those language, literacy, numeracy and employment skills that are essential to performance.</w:t>
      </w:r>
    </w:p>
    <w:p w:rsidR="00000000" w:rsidRPr="00D21D69" w:rsidP="001124E2">
      <w:pPr>
        <w:pStyle w:val="BodyText"/>
      </w:pPr>
      <w:r w:rsidRPr="00D21D69">
        <w:t>Foundation skills essential to performance are explicit in the performance criteria of this unit of competency.</w:t>
      </w:r>
    </w:p>
    <w:p w:rsidR="00000000" w:rsidRPr="00D21D69" w:rsidP="00D21D69">
      <w:pPr>
        <w:pStyle w:val="Heading1"/>
      </w:pPr>
      <w:bookmarkStart w:id="8" w:name="O_900383"/>
      <w:bookmarkEnd w:id="8"/>
      <w:r w:rsidRPr="00D21D69">
        <w:t>Range of Co</w:t>
      </w:r>
      <w:r w:rsidRPr="00D21D69">
        <w:t>nditions</w:t>
      </w:r>
    </w:p>
    <w:tbl>
      <w:tblPr>
        <w:tblW w:w="0" w:type="auto"/>
        <w:tblCellMar>
          <w:left w:w="62" w:type="dxa"/>
          <w:right w:w="62" w:type="dxa"/>
        </w:tblCellMar>
        <w:tblLook w:val="0000"/>
      </w:tblPr>
      <w:tblGrid>
        <w:gridCol w:w="2163"/>
        <w:gridCol w:w="7033"/>
      </w:tblGrid>
      <w:tr w:rsidTr="001124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t>This field allows for different work environments and conditions that may affect performance. Essential operating conditions that may be present (depending on the work situation, needs of the candidate, accessibility of the item, and local industr</w:t>
            </w:r>
            <w:r w:rsidRPr="00D21D69">
              <w:t>y and regional contexts) are included.</w:t>
            </w:r>
          </w:p>
        </w:tc>
      </w:tr>
      <w:tr w:rsidTr="00112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Standards, codes, procedures and/or workplace requirements include the latest version of one or more of:</w:t>
            </w:r>
          </w:p>
          <w:p w:rsidR="00000000" w:rsidRPr="00D21D69" w:rsidP="00D21D69">
            <w:pPr>
              <w:pStyle w:val="ListBullet"/>
            </w:pPr>
            <w:r w:rsidRPr="00D21D69">
              <w:t>Australian and international standards covering t</w:t>
            </w:r>
            <w:r w:rsidRPr="00D21D69">
              <w:t>he requirements for the competence of testing and calibration laboratories, laboratory safety, quality management and environmental management</w:t>
            </w:r>
          </w:p>
          <w:p w:rsidR="00000000" w:rsidRPr="00D21D69" w:rsidP="00D21D69">
            <w:pPr>
              <w:pStyle w:val="ListBullet"/>
            </w:pPr>
            <w:r w:rsidRPr="00D21D69">
              <w:t>national work health and safety (WHS) standards and codes of practice, national measurement regulations and guidelines, and environmental legislation and regulations</w:t>
            </w:r>
          </w:p>
          <w:p w:rsidR="00000000" w:rsidRPr="00D21D69" w:rsidP="00D21D69">
            <w:pPr>
              <w:pStyle w:val="ListBullet"/>
            </w:pPr>
            <w:r w:rsidRPr="00D21D69">
              <w:t>standard methods for sampling and testing construction materials, such as soils, aggregate</w:t>
            </w:r>
            <w:r w:rsidRPr="00D21D69">
              <w:t>s, concrete and asphalt</w:t>
            </w:r>
          </w:p>
          <w:p w:rsidR="00000000" w:rsidRPr="00D21D69" w:rsidP="00D21D69">
            <w:pPr>
              <w:pStyle w:val="ListBullet"/>
            </w:pPr>
            <w:r w:rsidRPr="00D21D69">
              <w:t>specific codes, guidelines, procedures and methods, such as:</w:t>
            </w:r>
          </w:p>
          <w:p w:rsidR="00000000" w:rsidRPr="00D21D69" w:rsidP="00D21D69">
            <w:pPr>
              <w:pStyle w:val="ListBullet2"/>
            </w:pPr>
            <w:r w:rsidRPr="00D21D69">
              <w:t>AustRoads test methods and State/Territory Road Authority test methods</w:t>
            </w:r>
          </w:p>
          <w:p w:rsidR="00000000" w:rsidRPr="00D21D69" w:rsidP="00D21D69">
            <w:pPr>
              <w:pStyle w:val="ListBullet2"/>
            </w:pPr>
            <w:r w:rsidRPr="00D21D69">
              <w:t>National Association of Testing Authorities (NATA) documents regarding construction materials testi</w:t>
            </w:r>
            <w:r w:rsidRPr="00D21D69">
              <w:t>ng (Field application document)</w:t>
            </w:r>
          </w:p>
          <w:p w:rsidR="00000000" w:rsidRPr="00D21D69" w:rsidP="00D21D69">
            <w:pPr>
              <w:pStyle w:val="ListBullet"/>
            </w:pPr>
            <w:r w:rsidRPr="00D21D69">
              <w:t>workplace documents, such as standard operating procedures (SOPs); quality and equipment manuals; calibration and maintenance schedules; material safety data sheets (MSDS) and safety procedures; material, production and pro</w:t>
            </w:r>
            <w:r w:rsidRPr="00D21D69">
              <w:t>duct specifications; production and laboratory schedules; workplace recording and reporting procedures; waste minimisation and safe disposal procedures; maps and site plans</w:t>
            </w:r>
          </w:p>
          <w:p w:rsidR="00000000" w:rsidRPr="00D21D69" w:rsidP="00D21D69">
            <w:pPr>
              <w:pStyle w:val="ListBullet"/>
            </w:pPr>
            <w:r w:rsidRPr="00D21D69">
              <w:t>sampling and testing procedures for specific sites, clients and samples</w:t>
            </w:r>
          </w:p>
          <w:p w:rsidR="00000000" w:rsidP="00D21D69">
            <w:pPr>
              <w:pStyle w:val="BodyText"/>
              <w:rPr>
                <w:lang w:val="en-NZ"/>
              </w:rPr>
            </w:pPr>
          </w:p>
        </w:tc>
      </w:tr>
      <w:tr w:rsidTr="00112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 xml:space="preserve">Monitoring activities </w:t>
            </w:r>
          </w:p>
        </w:tc>
        <w:tc>
          <w:tcPr>
            <w:tcW w:w="0" w:type="auto"/>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Monitoring activities include, but is not limited to, measuring one or more of:</w:t>
            </w:r>
          </w:p>
          <w:p w:rsidR="00000000" w:rsidRPr="00D21D69" w:rsidP="00D21D69">
            <w:pPr>
              <w:pStyle w:val="ListBullet"/>
            </w:pPr>
            <w:r w:rsidRPr="00D21D69">
              <w:t>displacement and vibration</w:t>
            </w:r>
          </w:p>
          <w:p w:rsidR="00000000" w:rsidRPr="00D21D69" w:rsidP="00D21D69">
            <w:pPr>
              <w:pStyle w:val="ListBullet"/>
            </w:pPr>
            <w:r w:rsidRPr="00D21D69">
              <w:t>pressure and force</w:t>
            </w:r>
          </w:p>
          <w:p w:rsidR="00000000" w:rsidRPr="00D21D69" w:rsidP="00D21D69">
            <w:pPr>
              <w:pStyle w:val="ListBullet"/>
            </w:pPr>
            <w:r w:rsidRPr="00D21D69">
              <w:t>temperature</w:t>
            </w:r>
          </w:p>
          <w:p w:rsidR="00000000" w:rsidRPr="00D21D69" w:rsidP="00D21D69">
            <w:pPr>
              <w:pStyle w:val="ListBullet"/>
            </w:pPr>
            <w:r w:rsidRPr="00D21D69">
              <w:t>setting time</w:t>
            </w:r>
          </w:p>
          <w:p w:rsidR="00000000" w:rsidRPr="00D21D69" w:rsidP="00D21D69">
            <w:pPr>
              <w:pStyle w:val="ListBullet"/>
            </w:pPr>
            <w:r w:rsidRPr="00D21D69">
              <w:t>strain</w:t>
            </w:r>
          </w:p>
          <w:p w:rsidR="00000000" w:rsidRPr="00D21D69" w:rsidP="00D21D69">
            <w:pPr>
              <w:pStyle w:val="ListBullet"/>
            </w:pPr>
            <w:r w:rsidRPr="00D21D69">
              <w:t>cracking (visual assessment of road condition)</w:t>
            </w:r>
          </w:p>
          <w:p w:rsidR="00000000" w:rsidRPr="00D21D69" w:rsidP="00D21D69">
            <w:pPr>
              <w:pStyle w:val="ListBullet"/>
            </w:pPr>
            <w:r w:rsidRPr="00D21D69">
              <w:t>defect mapping</w:t>
            </w:r>
          </w:p>
          <w:p w:rsidR="00000000" w:rsidRPr="00D21D69" w:rsidP="00D21D69">
            <w:pPr>
              <w:pStyle w:val="ListBullet"/>
            </w:pPr>
            <w:r w:rsidRPr="00D21D69">
              <w:t>moisture</w:t>
            </w:r>
          </w:p>
          <w:p w:rsidR="00000000" w:rsidRPr="00D21D69" w:rsidP="00D21D69">
            <w:pPr>
              <w:pStyle w:val="ListBullet"/>
            </w:pPr>
            <w:r w:rsidRPr="00D21D69">
              <w:t>wat</w:t>
            </w:r>
            <w:r w:rsidRPr="00D21D69">
              <w:t>er levels</w:t>
            </w:r>
          </w:p>
          <w:p w:rsidR="00000000" w:rsidRPr="00D21D69" w:rsidP="00D21D69">
            <w:pPr>
              <w:pStyle w:val="ListBullet"/>
            </w:pPr>
            <w:r w:rsidRPr="00D21D69">
              <w:t>movement of chemical ions through structures</w:t>
            </w:r>
          </w:p>
          <w:p w:rsidR="00000000" w:rsidP="00D21D69">
            <w:pPr>
              <w:pStyle w:val="BodyText"/>
              <w:rPr>
                <w:lang w:val="en-NZ"/>
              </w:rPr>
            </w:pPr>
          </w:p>
        </w:tc>
      </w:tr>
      <w:tr w:rsidTr="00112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 xml:space="preserve">Administrative requirements and appropriate approvals </w:t>
            </w:r>
          </w:p>
        </w:tc>
        <w:tc>
          <w:tcPr>
            <w:tcW w:w="0" w:type="auto"/>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Administrative requirements and appropriate approvals include:</w:t>
            </w:r>
          </w:p>
          <w:p w:rsidR="00000000" w:rsidRPr="00D21D69" w:rsidP="00D21D69">
            <w:pPr>
              <w:pStyle w:val="ListBullet"/>
            </w:pPr>
            <w:r w:rsidRPr="00D21D69">
              <w:t>travel requisitions and insurance</w:t>
            </w:r>
          </w:p>
          <w:p w:rsidR="00000000" w:rsidRPr="00D21D69" w:rsidP="00D21D69">
            <w:pPr>
              <w:pStyle w:val="ListBullet"/>
            </w:pPr>
            <w:r w:rsidRPr="00D21D69">
              <w:t>authority for procurement of supplies</w:t>
            </w:r>
          </w:p>
          <w:p w:rsidR="00000000" w:rsidRPr="00D21D69" w:rsidP="00D21D69">
            <w:pPr>
              <w:pStyle w:val="ListBullet"/>
            </w:pPr>
            <w:r w:rsidRPr="00D21D69">
              <w:t>use of vehicles and equipment</w:t>
            </w:r>
          </w:p>
          <w:p w:rsidR="00000000" w:rsidRPr="00D21D69" w:rsidP="00D21D69">
            <w:pPr>
              <w:pStyle w:val="ListBullet"/>
            </w:pPr>
            <w:r w:rsidRPr="00D21D69">
              <w:t>access permits</w:t>
            </w:r>
          </w:p>
          <w:p w:rsidR="00000000" w:rsidP="00D21D69">
            <w:pPr>
              <w:pStyle w:val="BodyText"/>
              <w:rPr>
                <w:lang w:val="en-NZ"/>
              </w:rPr>
            </w:pPr>
          </w:p>
        </w:tc>
      </w:tr>
      <w:tr w:rsidTr="00112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 xml:space="preserve">Site hazards </w:t>
            </w:r>
          </w:p>
        </w:tc>
        <w:tc>
          <w:tcPr>
            <w:tcW w:w="0" w:type="auto"/>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 xml:space="preserve">Site hazards include, but are not limited to, one or more of: </w:t>
            </w:r>
          </w:p>
          <w:p w:rsidR="00000000" w:rsidRPr="00D21D69" w:rsidP="00D21D69">
            <w:pPr>
              <w:pStyle w:val="ListBullet"/>
            </w:pPr>
            <w:r w:rsidRPr="00D21D69">
              <w:t>dust and noise</w:t>
            </w:r>
          </w:p>
          <w:p w:rsidR="00000000" w:rsidRPr="00D21D69" w:rsidP="00D21D69">
            <w:pPr>
              <w:pStyle w:val="ListBullet"/>
            </w:pPr>
            <w:r w:rsidRPr="00D21D69">
              <w:t>extreme weather (e.g. sunlight, wind, hail, rain and heat)</w:t>
            </w:r>
          </w:p>
          <w:p w:rsidR="00000000" w:rsidRPr="00D21D69" w:rsidP="00D21D69">
            <w:pPr>
              <w:pStyle w:val="ListBullet"/>
            </w:pPr>
            <w:r w:rsidRPr="00D21D69">
              <w:t>manual handling of heavy equipment or materials</w:t>
            </w:r>
          </w:p>
          <w:p w:rsidR="00000000" w:rsidRPr="00D21D69" w:rsidP="00D21D69">
            <w:pPr>
              <w:pStyle w:val="ListBullet"/>
            </w:pPr>
            <w:r w:rsidRPr="00D21D69">
              <w:t>crushing,</w:t>
            </w:r>
            <w:r w:rsidRPr="00D21D69">
              <w:t xml:space="preserve"> entanglement and cuts associated with moving machinery</w:t>
            </w:r>
          </w:p>
          <w:p w:rsidR="00000000" w:rsidRPr="00D21D69" w:rsidP="00D21D69">
            <w:pPr>
              <w:pStyle w:val="ListBullet"/>
            </w:pPr>
            <w:r w:rsidRPr="00D21D69">
              <w:t>vehicular traffic on roads and sites</w:t>
            </w:r>
          </w:p>
          <w:p w:rsidR="00000000" w:rsidRPr="00D21D69" w:rsidP="00D21D69">
            <w:pPr>
              <w:pStyle w:val="ListBullet"/>
            </w:pPr>
            <w:r w:rsidRPr="00D21D69">
              <w:t>injuries caused by falling objects and working conditions, such as uneven surfaces, heights, slopes, wet surfaces, trenches and confined spaces</w:t>
            </w:r>
          </w:p>
          <w:p w:rsidR="00000000" w:rsidRPr="00D21D69" w:rsidP="00D21D69">
            <w:pPr>
              <w:pStyle w:val="ListBullet"/>
            </w:pPr>
            <w:r w:rsidRPr="00D21D69">
              <w:t>nuclear density/moisture gauges and industrial X-ray equipment</w:t>
            </w:r>
          </w:p>
          <w:p w:rsidR="00000000" w:rsidRPr="00D21D69" w:rsidP="00D21D69">
            <w:pPr>
              <w:pStyle w:val="ListBullet"/>
            </w:pPr>
            <w:r w:rsidRPr="00D21D69">
              <w:t>driving vehicles over long distances, in rural or remote areas and over difficult terrain</w:t>
            </w:r>
          </w:p>
          <w:p w:rsidR="00000000" w:rsidRPr="00D21D69" w:rsidP="00D21D69">
            <w:pPr>
              <w:pStyle w:val="ListBullet"/>
            </w:pPr>
            <w:r w:rsidRPr="00D21D69">
              <w:t>fatigue</w:t>
            </w:r>
          </w:p>
          <w:p w:rsidR="00000000" w:rsidP="00D21D69">
            <w:pPr>
              <w:pStyle w:val="BodyText"/>
              <w:rPr>
                <w:lang w:val="en-NZ"/>
              </w:rPr>
            </w:pPr>
          </w:p>
        </w:tc>
      </w:tr>
      <w:tr w:rsidTr="00112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 xml:space="preserve">Safe work procedures include, but are not limited to, one or more of: </w:t>
            </w:r>
          </w:p>
          <w:p w:rsidR="00000000" w:rsidRPr="00D21D69" w:rsidP="00D21D69">
            <w:pPr>
              <w:pStyle w:val="ListBullet"/>
            </w:pPr>
            <w:r w:rsidRPr="00D21D69">
              <w:t>use of site safety plans and MSDS</w:t>
            </w:r>
          </w:p>
          <w:p w:rsidR="00000000" w:rsidRPr="00D21D69" w:rsidP="00D21D69">
            <w:pPr>
              <w:pStyle w:val="ListBullet"/>
            </w:pPr>
            <w:r w:rsidRPr="00D21D69">
              <w:t>use of signage, barriers, flashing lights and traffic control</w:t>
            </w:r>
          </w:p>
          <w:p w:rsidR="00000000" w:rsidRPr="00D21D69" w:rsidP="00D21D69">
            <w:pPr>
              <w:pStyle w:val="ListBullet"/>
            </w:pPr>
            <w:r w:rsidRPr="00D21D69">
              <w:t>use of PPE, such as hard hats, hearing protection, gloves, goggles, coveralls and safety boots</w:t>
            </w:r>
          </w:p>
          <w:p w:rsidR="00000000" w:rsidRPr="00D21D69" w:rsidP="00D21D69">
            <w:pPr>
              <w:pStyle w:val="ListBullet"/>
            </w:pPr>
            <w:r w:rsidRPr="00D21D69">
              <w:t>handling and storing hazardous material and equipment in accorda</w:t>
            </w:r>
            <w:r w:rsidRPr="00D21D69">
              <w:t>nce with labels, MSDS, manufacturer instructions, and workplace procedures and regulations</w:t>
            </w:r>
          </w:p>
          <w:p w:rsidR="00000000" w:rsidRPr="00D21D69" w:rsidP="00D21D69">
            <w:pPr>
              <w:pStyle w:val="ListBullet"/>
            </w:pPr>
            <w:r w:rsidRPr="00D21D69">
              <w:t>regularly cleaning equipment and vehicles</w:t>
            </w:r>
          </w:p>
          <w:p w:rsidR="00000000" w:rsidRPr="00D21D69" w:rsidP="00D21D69">
            <w:pPr>
              <w:pStyle w:val="ListBullet"/>
            </w:pPr>
            <w:r w:rsidRPr="00D21D69">
              <w:t>following established manual handling procedures</w:t>
            </w:r>
          </w:p>
          <w:p w:rsidR="00000000" w:rsidP="00D21D69">
            <w:pPr>
              <w:pStyle w:val="BodyText"/>
              <w:rPr>
                <w:lang w:val="en-NZ"/>
              </w:rPr>
            </w:pPr>
          </w:p>
        </w:tc>
      </w:tr>
      <w:tr w:rsidTr="00112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Minimising environmental impacts</w:t>
            </w:r>
          </w:p>
        </w:tc>
        <w:tc>
          <w:tcPr>
            <w:tcW w:w="0" w:type="auto"/>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Minimising environmental impacts include, but is not limited to, one or more of:</w:t>
            </w:r>
          </w:p>
          <w:p w:rsidR="00000000" w:rsidRPr="00D21D69" w:rsidP="00D21D69">
            <w:pPr>
              <w:pStyle w:val="ListBullet"/>
            </w:pPr>
            <w:r w:rsidRPr="00D21D69">
              <w:t>damage from movement of vehicles</w:t>
            </w:r>
          </w:p>
          <w:p w:rsidR="00000000" w:rsidRPr="00D21D69" w:rsidP="00D21D69">
            <w:pPr>
              <w:pStyle w:val="ListBullet"/>
            </w:pPr>
            <w:r w:rsidRPr="00D21D69">
              <w:t>disposal of surplus or spent or materials</w:t>
            </w:r>
          </w:p>
          <w:p w:rsidR="00000000" w:rsidRPr="00D21D69" w:rsidP="00D21D69">
            <w:pPr>
              <w:pStyle w:val="ListBullet"/>
            </w:pPr>
            <w:r w:rsidRPr="00D21D69">
              <w:t>containing run-off of water</w:t>
            </w:r>
          </w:p>
          <w:p w:rsidR="00000000" w:rsidRPr="00D21D69" w:rsidP="00D21D69">
            <w:pPr>
              <w:pStyle w:val="ListBullet"/>
            </w:pPr>
            <w:r w:rsidRPr="00D21D69">
              <w:t>recycling of wastes</w:t>
            </w:r>
          </w:p>
          <w:p w:rsidR="00000000" w:rsidRPr="00D21D69" w:rsidP="00D21D69">
            <w:pPr>
              <w:pStyle w:val="ListBullet"/>
            </w:pPr>
            <w:r w:rsidRPr="00D21D69">
              <w:t xml:space="preserve">compliance with quarantine requirements, including </w:t>
            </w:r>
            <w:r w:rsidRPr="00D21D69">
              <w:t>cleaning of vehicles to prevent transfer of pests (e.g. fire ants and seeds) and contaminants</w:t>
            </w:r>
          </w:p>
          <w:p w:rsidR="00000000" w:rsidRPr="00D21D69" w:rsidP="00D21D69">
            <w:pPr>
              <w:pStyle w:val="ListBullet"/>
            </w:pPr>
            <w:r w:rsidRPr="00D21D69">
              <w:t>compliance with environmental, cultural and heritage protection requirements</w:t>
            </w:r>
          </w:p>
          <w:p w:rsidR="00000000" w:rsidP="00D21D69">
            <w:pPr>
              <w:pStyle w:val="BodyText"/>
              <w:rPr>
                <w:lang w:val="en-NZ"/>
              </w:rPr>
            </w:pPr>
          </w:p>
        </w:tc>
      </w:tr>
      <w:tr w:rsidTr="001124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1D69">
            <w:pPr>
              <w:pStyle w:val="BodyText"/>
              <w:rPr>
                <w:lang w:val="en-NZ"/>
              </w:rPr>
            </w:pPr>
            <w:r w:rsidRPr="00D21D69">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21D69" w:rsidP="00D21D69">
            <w:pPr>
              <w:pStyle w:val="BodyText"/>
            </w:pPr>
            <w:r w:rsidRPr="00D21D69">
              <w:t>WHS and environmental management requirements include:</w:t>
            </w:r>
          </w:p>
          <w:p w:rsidR="00000000" w:rsidRPr="00D21D69" w:rsidP="00D21D69">
            <w:pPr>
              <w:pStyle w:val="BodyText"/>
            </w:pPr>
            <w:r w:rsidRPr="00D21D69">
              <w:rPr>
                <w:rStyle w:val="Symbols"/>
              </w:rPr>
              <w:t></w:t>
            </w:r>
            <w:r w:rsidRPr="00D21D69">
              <w:rPr>
                <w:rStyle w:val="Symbols"/>
              </w:rPr>
              <w:tab/>
            </w:r>
            <w:r w:rsidRPr="00D21D69">
              <w:t>complying with WHS and environmental management requirements at all times, which may be imposed through state/territory or federal legislation. These requirements must not be compromised at any time</w:t>
            </w:r>
          </w:p>
          <w:p w:rsidR="00000000" w:rsidRPr="00D21D69" w:rsidP="00D21D69">
            <w:pPr>
              <w:pStyle w:val="BodyText"/>
            </w:pPr>
            <w:r w:rsidRPr="00D21D69">
              <w:rPr>
                <w:rStyle w:val="Symbols"/>
              </w:rPr>
              <w:t></w:t>
            </w:r>
            <w:r w:rsidRPr="00D21D69">
              <w:rPr>
                <w:rStyle w:val="Symbols"/>
              </w:rPr>
              <w:tab/>
            </w:r>
            <w:r w:rsidRPr="00D21D69">
              <w:t>applying standard precautions relating to the potentially hazardous nature of samples</w:t>
            </w:r>
          </w:p>
          <w:p w:rsidR="00000000" w:rsidRPr="00D21D69" w:rsidP="00D21D69">
            <w:pPr>
              <w:pStyle w:val="BodyText"/>
            </w:pPr>
          </w:p>
        </w:tc>
      </w:tr>
    </w:tbl>
    <w:p w:rsidR="00000000" w:rsidRPr="00D21D69" w:rsidP="00D21D69">
      <w:pPr>
        <w:pStyle w:val="BodyText"/>
      </w:pPr>
    </w:p>
    <w:p w:rsidR="00000000" w:rsidRPr="00D21D69" w:rsidP="00D21D69">
      <w:pPr>
        <w:pStyle w:val="AllowPageBreak"/>
      </w:pPr>
    </w:p>
    <w:p w:rsidR="00000000" w:rsidRPr="00D21D69" w:rsidP="00D21D69">
      <w:pPr>
        <w:pStyle w:val="Heading1"/>
      </w:pPr>
      <w:bookmarkStart w:id="9" w:name="O_900382"/>
      <w:bookmarkEnd w:id="9"/>
      <w:r w:rsidRPr="00D21D69">
        <w:t>Unit Mapping Information</w:t>
      </w:r>
    </w:p>
    <w:p w:rsidR="00000000" w:rsidRPr="00D21D69" w:rsidP="001124E2">
      <w:pPr>
        <w:pStyle w:val="BodyText"/>
      </w:pPr>
      <w:r w:rsidRPr="00D21D69">
        <w:t>Release 1. Supersedes and is equivalent to MSL974013A Monitor performance of structures</w:t>
      </w:r>
    </w:p>
    <w:p w:rsidR="00000000" w:rsidRPr="00D21D69" w:rsidP="00D21D69">
      <w:pPr>
        <w:pStyle w:val="Heading1"/>
      </w:pPr>
      <w:bookmarkStart w:id="10" w:name="O_900373"/>
      <w:bookmarkEnd w:id="10"/>
      <w:r w:rsidRPr="00D21D69">
        <w:t>Links</w:t>
      </w:r>
    </w:p>
    <w:p w:rsidR="00000000" w:rsidRPr="00D21D69" w:rsidP="001124E2">
      <w:pPr>
        <w:pStyle w:val="BodyText"/>
      </w:pPr>
      <w:r w:rsidRPr="00D21D69">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D6F23">
        <w:rPr>
          <w:rStyle w:val="Hyperlink"/>
        </w:rPr>
        <w:t>https://vetnet.gov.au/Pages/TrainingDocs.aspx?q=5c63a03b-4a6b-4ae5-9560-1e3c5f462baa</w:t>
      </w:r>
      <w:r>
        <w:fldChar w:fldCharType="end"/>
      </w:r>
    </w:p>
    <w:p w:rsidR="00000000" w:rsidRPr="00D21D69" w:rsidP="001124E2">
      <w:pPr>
        <w:pStyle w:val="BodyText"/>
        <w:sectPr w:rsidSect="00D21D69">
          <w:headerReference w:type="default" r:id="rId10"/>
          <w:footerReference w:type="default" r:id="rId11"/>
          <w:pgSz w:w="11908" w:h="16833"/>
          <w:pgMar w:top="1702" w:right="1418" w:bottom="1702" w:left="1418" w:header="992" w:footer="992" w:gutter="0"/>
          <w:cols w:space="720"/>
          <w:noEndnote/>
          <w:docGrid w:linePitch="299"/>
        </w:sectPr>
      </w:pPr>
    </w:p>
    <w:p w:rsidR="00000000" w:rsidRPr="00D21D69" w:rsidP="00D21D69">
      <w:pPr>
        <w:pStyle w:val="SuperHeading"/>
      </w:pPr>
      <w:r w:rsidRPr="00D21D69">
        <w:t>Assessment Requirements for MSL974013 Monitor performance of st</w:t>
      </w:r>
      <w:r w:rsidRPr="00D21D69">
        <w:t>ructures</w:t>
      </w:r>
    </w:p>
    <w:p w:rsidR="00000000" w:rsidRPr="00D21D69" w:rsidP="00D21D69">
      <w:pPr>
        <w:pStyle w:val="Heading1"/>
      </w:pPr>
      <w:bookmarkStart w:id="11" w:name="O_900377"/>
      <w:bookmarkEnd w:id="11"/>
      <w:r w:rsidRPr="00D21D69">
        <w:t>Modification History</w:t>
      </w:r>
    </w:p>
    <w:p w:rsidR="00000000" w:rsidRPr="00D21D69" w:rsidP="001124E2">
      <w:pPr>
        <w:pStyle w:val="BodyText"/>
      </w:pPr>
      <w:r w:rsidRPr="00D21D69">
        <w:t>Release 1. Supersedes and is equivalent to MSL974013A Monitor performance of structures</w:t>
      </w:r>
    </w:p>
    <w:p w:rsidR="00000000" w:rsidRPr="00D21D69" w:rsidP="00D21D69">
      <w:pPr>
        <w:pStyle w:val="Heading1"/>
      </w:pPr>
      <w:bookmarkStart w:id="12" w:name="O_900380"/>
      <w:bookmarkEnd w:id="12"/>
      <w:r w:rsidRPr="00D21D69">
        <w:t>Performance Evidence</w:t>
      </w:r>
    </w:p>
    <w:p w:rsidR="00000000" w:rsidRPr="00D21D69" w:rsidP="001124E2">
      <w:pPr>
        <w:pStyle w:val="BodyText"/>
      </w:pPr>
      <w:r w:rsidRPr="00D21D69">
        <w:t>Evidence of competence in this unit must satisfy all of the requirements of the elements and performance criteria, and include demonstration of:</w:t>
      </w:r>
    </w:p>
    <w:p w:rsidR="00000000" w:rsidRPr="00D21D69" w:rsidP="00D21D69">
      <w:pPr>
        <w:pStyle w:val="ListBullet"/>
      </w:pPr>
      <w:r w:rsidRPr="00D21D69">
        <w:t>safely monitoring civil engineering structures on at least three (3) occasions to measure their performance, c</w:t>
      </w:r>
      <w:r w:rsidRPr="00D21D69">
        <w:t>onfirm design parameters and/or measure the effects of improvements or rehabilitation</w:t>
      </w:r>
    </w:p>
    <w:p w:rsidR="00000000" w:rsidRPr="00D21D69" w:rsidP="00D21D69">
      <w:pPr>
        <w:pStyle w:val="ListBullet"/>
      </w:pPr>
      <w:r w:rsidRPr="00D21D69">
        <w:t>liaising effectively with clients and site personnel to arrange for monitoring to be performed safely and efficiently</w:t>
      </w:r>
    </w:p>
    <w:p w:rsidR="00000000" w:rsidRPr="00D21D69" w:rsidP="00D21D69">
      <w:pPr>
        <w:pStyle w:val="ListBullet"/>
      </w:pPr>
      <w:r w:rsidRPr="00D21D69">
        <w:t xml:space="preserve">interpreting and applying work instructions, safety </w:t>
      </w:r>
      <w:r w:rsidRPr="00D21D69">
        <w:t>information, test methods and workplace procedures with close attention to detail</w:t>
      </w:r>
    </w:p>
    <w:p w:rsidR="00000000" w:rsidRPr="00D21D69" w:rsidP="00D21D69">
      <w:pPr>
        <w:pStyle w:val="ListBullet"/>
      </w:pPr>
      <w:r w:rsidRPr="00D21D69">
        <w:t>confirming requirements and assembling resources for monitoring activities</w:t>
      </w:r>
    </w:p>
    <w:p w:rsidR="00000000" w:rsidRPr="00D21D69" w:rsidP="00D21D69">
      <w:pPr>
        <w:pStyle w:val="ListBullet"/>
      </w:pPr>
      <w:r w:rsidRPr="00D21D69">
        <w:t>setting up, operating and troubleshooting monitoring equipment in the field in accordance with test</w:t>
      </w:r>
      <w:r w:rsidRPr="00D21D69">
        <w:t xml:space="preserve"> methods and/or workplace procedures</w:t>
      </w:r>
    </w:p>
    <w:p w:rsidR="00000000" w:rsidRPr="00D21D69" w:rsidP="00D21D69">
      <w:pPr>
        <w:pStyle w:val="ListBullet"/>
      </w:pPr>
      <w:r w:rsidRPr="00D21D69">
        <w:t>recording and interpreting data in the field accurately</w:t>
      </w:r>
    </w:p>
    <w:p w:rsidR="00000000" w:rsidRPr="00D21D69" w:rsidP="00D21D69">
      <w:pPr>
        <w:pStyle w:val="ListBullet"/>
      </w:pPr>
      <w:r w:rsidRPr="00D21D69">
        <w:t>recognising and rectifying obvious errors or unexpected results and troubleshooting common problems</w:t>
      </w:r>
    </w:p>
    <w:p w:rsidR="00000000" w:rsidRPr="00D21D69" w:rsidP="00D21D69">
      <w:pPr>
        <w:pStyle w:val="ListBullet"/>
      </w:pPr>
      <w:r w:rsidRPr="00D21D69">
        <w:t>taking appropriate corrective actions, including:</w:t>
      </w:r>
    </w:p>
    <w:p w:rsidR="00000000" w:rsidRPr="00D21D69" w:rsidP="00D21D69">
      <w:pPr>
        <w:pStyle w:val="ListBullet2"/>
      </w:pPr>
      <w:r w:rsidRPr="00D21D69">
        <w:t>logical chec</w:t>
      </w:r>
      <w:r w:rsidRPr="00D21D69">
        <w:t>king of equipment setup</w:t>
      </w:r>
    </w:p>
    <w:p w:rsidR="00000000" w:rsidRPr="00D21D69" w:rsidP="00D21D69">
      <w:pPr>
        <w:pStyle w:val="ListBullet2"/>
      </w:pPr>
      <w:r w:rsidRPr="00D21D69">
        <w:t>checking of calibration, zero error, drift for measuring instrument, data entry/storage and transfer</w:t>
      </w:r>
    </w:p>
    <w:p w:rsidR="00000000" w:rsidRPr="00D21D69" w:rsidP="00D21D69">
      <w:pPr>
        <w:pStyle w:val="ListBullet2"/>
      </w:pPr>
      <w:r w:rsidRPr="00D21D69">
        <w:t>replacement of batteries, instrument boards/cards, and leads and connectors</w:t>
      </w:r>
    </w:p>
    <w:p w:rsidR="00000000" w:rsidRPr="00D21D69" w:rsidP="00D21D69">
      <w:pPr>
        <w:pStyle w:val="ListBullet2"/>
      </w:pPr>
      <w:r w:rsidRPr="00D21D69">
        <w:t>careful re-reading of procedures and checklists</w:t>
      </w:r>
    </w:p>
    <w:p w:rsidR="00000000" w:rsidRPr="00D21D69" w:rsidP="00D21D69">
      <w:pPr>
        <w:pStyle w:val="ListBullet2"/>
      </w:pPr>
      <w:r w:rsidRPr="00D21D69">
        <w:t>repeating measurements</w:t>
      </w:r>
    </w:p>
    <w:p w:rsidR="00000000" w:rsidRPr="00D21D69" w:rsidP="00D21D69">
      <w:pPr>
        <w:pStyle w:val="ListBullet2"/>
      </w:pPr>
      <w:r w:rsidRPr="00D21D69">
        <w:t>seeking timely advice</w:t>
      </w:r>
    </w:p>
    <w:p w:rsidR="00000000" w:rsidRPr="00D21D69" w:rsidP="00D21D69">
      <w:pPr>
        <w:pStyle w:val="ListBullet"/>
      </w:pPr>
      <w:r w:rsidRPr="00D21D69">
        <w:t>estimating/calculating simple scientific quantities, such as stress, strain and pressure</w:t>
      </w:r>
    </w:p>
    <w:p w:rsidR="00000000" w:rsidRPr="00D21D69" w:rsidP="00D21D69">
      <w:pPr>
        <w:pStyle w:val="ListBullet"/>
      </w:pPr>
      <w:r w:rsidRPr="00D21D69">
        <w:t>downloading/storing data and site information and reporting results within the required timeframe</w:t>
      </w:r>
    </w:p>
    <w:p w:rsidR="00000000" w:rsidRPr="00D21D69" w:rsidP="00D21D69">
      <w:pPr>
        <w:pStyle w:val="ListBullet"/>
      </w:pPr>
      <w:r w:rsidRPr="00D21D69">
        <w:t>working semi-autonomous</w:t>
      </w:r>
      <w:r w:rsidRPr="00D21D69">
        <w:t>ly, demonstrating a professional approach and positive company/organisation image</w:t>
      </w:r>
    </w:p>
    <w:p w:rsidR="00000000" w:rsidRPr="00D21D69" w:rsidP="00D21D69">
      <w:pPr>
        <w:pStyle w:val="ListBullet"/>
      </w:pPr>
      <w:r w:rsidRPr="00D21D69">
        <w:t>maintaining security, integrity and traceability of all samples, data/results and documentation</w:t>
      </w:r>
    </w:p>
    <w:p w:rsidR="00000000" w:rsidRPr="00D21D69" w:rsidP="00D21D69">
      <w:pPr>
        <w:pStyle w:val="ListBullet"/>
      </w:pPr>
      <w:r w:rsidRPr="00D21D69">
        <w:t>following workplace procedures for minimising environmental impacts, maintaini</w:t>
      </w:r>
      <w:r w:rsidRPr="00D21D69">
        <w:t>ng equipment and for the collection and disposal of waste.</w:t>
      </w:r>
    </w:p>
    <w:p w:rsidR="00000000" w:rsidRPr="00D21D69" w:rsidP="00D21D69">
      <w:pPr>
        <w:pStyle w:val="AllowPageBreak"/>
      </w:pPr>
    </w:p>
    <w:p w:rsidR="00000000" w:rsidRPr="00D21D69" w:rsidP="00D21D69">
      <w:pPr>
        <w:pStyle w:val="Heading1"/>
      </w:pPr>
      <w:bookmarkStart w:id="13" w:name="O_900379"/>
      <w:bookmarkEnd w:id="13"/>
      <w:r w:rsidRPr="00D21D69">
        <w:t>Knowledge Evidence</w:t>
      </w:r>
    </w:p>
    <w:p w:rsidR="00000000" w:rsidRPr="00D21D69" w:rsidP="001124E2">
      <w:pPr>
        <w:pStyle w:val="BodyText"/>
      </w:pPr>
      <w:r w:rsidRPr="00D21D69">
        <w:t>Must provide evidence that demonstrates knowledge of:</w:t>
      </w:r>
    </w:p>
    <w:p w:rsidR="00000000" w:rsidRPr="00D21D69" w:rsidP="00D21D69">
      <w:pPr>
        <w:pStyle w:val="ListBullet"/>
      </w:pPr>
      <w:r w:rsidRPr="00D21D69">
        <w:t>purpose and principles of monitoring activities routinely performed in job role and the properties of mate</w:t>
      </w:r>
      <w:r w:rsidRPr="00D21D69">
        <w:t>rials and/or structures being monitored</w:t>
      </w:r>
    </w:p>
    <w:p w:rsidR="00000000" w:rsidRPr="00D21D69" w:rsidP="00D21D69">
      <w:pPr>
        <w:pStyle w:val="ListBullet"/>
      </w:pPr>
      <w:r w:rsidRPr="00D21D69">
        <w:t>operating procedures for monitoring instruments and equipment routinely used in job role, including the pre-use checks, function of key components, effects of varying key controls, connections, data acquisition fundamentals and common problems</w:t>
      </w:r>
    </w:p>
    <w:p w:rsidR="00000000" w:rsidRPr="00D21D69" w:rsidP="00D21D69">
      <w:pPr>
        <w:pStyle w:val="ListBullet"/>
      </w:pPr>
      <w:r w:rsidRPr="00D21D69">
        <w:t>basic instru</w:t>
      </w:r>
      <w:r w:rsidRPr="00D21D69">
        <w:t>ment fault identification and rectification procedures</w:t>
      </w:r>
    </w:p>
    <w:p w:rsidR="00000000" w:rsidRPr="00D21D69" w:rsidP="00D21D69">
      <w:pPr>
        <w:pStyle w:val="ListBullet"/>
      </w:pPr>
      <w:r w:rsidRPr="00D21D69">
        <w:t>expected measurement values, precision, units, sources of uncertainty and methods for their control</w:t>
      </w:r>
    </w:p>
    <w:p w:rsidR="00000000" w:rsidRPr="00D21D69" w:rsidP="00D21D69">
      <w:pPr>
        <w:pStyle w:val="ListBullet"/>
      </w:pPr>
      <w:r w:rsidRPr="00D21D69">
        <w:t>procedures for verifying and recording instrumental data, reporting site observations and results, pe</w:t>
      </w:r>
      <w:r w:rsidRPr="00D21D69">
        <w:t>rforming calculations and dealing with unexpected or atypical results and/or equipment problems</w:t>
      </w:r>
    </w:p>
    <w:p w:rsidR="00000000" w:rsidRPr="00D21D69" w:rsidP="00D21D69">
      <w:pPr>
        <w:pStyle w:val="ListBullet"/>
      </w:pPr>
      <w:r w:rsidRPr="00D21D69">
        <w:t>procedures for ensuring security, traceability of data and results, and confidentiality requirements</w:t>
      </w:r>
    </w:p>
    <w:p w:rsidR="00000000" w:rsidRPr="00D21D69" w:rsidP="00D21D69">
      <w:pPr>
        <w:pStyle w:val="ListBullet"/>
      </w:pPr>
      <w:r w:rsidRPr="00D21D69">
        <w:t>relevant hazards, work health and safety (WHS) and environm</w:t>
      </w:r>
      <w:r w:rsidRPr="00D21D69">
        <w:t>ental management requirements.</w:t>
      </w:r>
    </w:p>
    <w:p w:rsidR="00000000" w:rsidRPr="00D21D69" w:rsidP="00D21D69">
      <w:pPr>
        <w:pStyle w:val="AllowPageBreak"/>
      </w:pPr>
    </w:p>
    <w:p w:rsidR="00000000" w:rsidRPr="00D21D69" w:rsidP="00D21D69">
      <w:pPr>
        <w:pStyle w:val="Heading1"/>
      </w:pPr>
      <w:bookmarkStart w:id="14" w:name="O_900378"/>
      <w:bookmarkEnd w:id="14"/>
      <w:r w:rsidRPr="00D21D69">
        <w:t>Assessment Conditions</w:t>
      </w:r>
    </w:p>
    <w:p w:rsidR="00000000" w:rsidRPr="00D21D69" w:rsidP="00D21D69">
      <w:pPr>
        <w:pStyle w:val="ListBullet"/>
      </w:pPr>
      <w:r w:rsidRPr="00D21D69">
        <w:t>Judgment of competence must be based on holistic assessment of the evidence. Assessment methods must confirm consistency of performance over time, rather than a single assessment event.</w:t>
      </w:r>
      <w:r w:rsidRPr="00D21D69">
        <w:t xml:space="preserve"> </w:t>
      </w:r>
    </w:p>
    <w:p w:rsidR="00000000" w:rsidRPr="00D21D69" w:rsidP="00D21D69">
      <w:pPr>
        <w:pStyle w:val="ListBullet"/>
      </w:pPr>
      <w:r w:rsidRPr="00D21D69">
        <w:t>This unit of competency is to be assessed in the workplace or a simulated workplace environment. A simulated workplace environment must reflect realistic operational workplace conditions that cover all aspects of workplace performance, including the envi</w:t>
      </w:r>
      <w:r w:rsidRPr="00D21D69">
        <w:t xml:space="preserve">ronment, task skills, task management skills, contingency management skills and job role environment skills.  </w:t>
      </w:r>
    </w:p>
    <w:p w:rsidR="00000000" w:rsidRPr="00D21D69" w:rsidP="00D21D69">
      <w:pPr>
        <w:pStyle w:val="ListBullet"/>
      </w:pPr>
      <w:r w:rsidRPr="00D21D69">
        <w:t xml:space="preserve">Foundation skills are integral to competent performance of the unit and should not be assessed separately. </w:t>
      </w:r>
    </w:p>
    <w:p w:rsidR="00000000" w:rsidRPr="00D21D69" w:rsidP="00D21D69">
      <w:pPr>
        <w:pStyle w:val="ListBullet"/>
      </w:pPr>
      <w:r w:rsidRPr="00D21D69">
        <w:t>Assessment processes and techniques m</w:t>
      </w:r>
      <w:r w:rsidRPr="00D21D69">
        <w:t>ust be appropriate to the language, literacy and numeracy requirements of the work being performed and the needs of the candidate.</w:t>
      </w:r>
    </w:p>
    <w:p w:rsidR="00000000" w:rsidRPr="00D21D69" w:rsidP="00D21D69">
      <w:pPr>
        <w:pStyle w:val="ListBullet"/>
      </w:pPr>
      <w:r w:rsidRPr="00D21D69">
        <w:t>Knowledge evidence may be collected concurrently with performance evidence or through an independent process, such as workboo</w:t>
      </w:r>
      <w:r w:rsidRPr="00D21D69">
        <w:t>ks, written assessments or interviews (provided a record is kept in each case).</w:t>
      </w:r>
    </w:p>
    <w:p w:rsidR="00000000" w:rsidRPr="00D21D69" w:rsidP="00D21D69">
      <w:pPr>
        <w:pStyle w:val="ListBullet"/>
      </w:pPr>
      <w:r w:rsidRPr="00D21D69">
        <w:t xml:space="preserve">This unit of competency may be assessed with: </w:t>
      </w:r>
    </w:p>
    <w:p w:rsidR="00000000" w:rsidRPr="00D21D69" w:rsidP="00D21D69">
      <w:pPr>
        <w:pStyle w:val="ListBullet2"/>
      </w:pPr>
      <w:r w:rsidRPr="00D21D69">
        <w:t>MSL924001 Process and interpret data</w:t>
      </w:r>
    </w:p>
    <w:p w:rsidR="00000000" w:rsidRPr="00D21D69" w:rsidP="00D21D69">
      <w:pPr>
        <w:pStyle w:val="ListBullet2"/>
      </w:pPr>
      <w:r w:rsidRPr="00D21D69">
        <w:t>MSL924002 Use laboratory application software</w:t>
      </w:r>
    </w:p>
    <w:p w:rsidR="00000000" w:rsidRPr="00D21D69" w:rsidP="00D21D69">
      <w:pPr>
        <w:pStyle w:val="ListBullet2"/>
      </w:pPr>
      <w:r w:rsidRPr="00D21D69">
        <w:t>MSL943002 Participate in laboratory or field workplace safety</w:t>
      </w:r>
    </w:p>
    <w:p w:rsidR="00000000" w:rsidRPr="00D21D69" w:rsidP="00D21D69">
      <w:pPr>
        <w:pStyle w:val="ListBullet"/>
      </w:pPr>
      <w:r w:rsidRPr="00D21D69">
        <w:t xml:space="preserve">Holistic assessment methods include: </w:t>
      </w:r>
    </w:p>
    <w:p w:rsidR="00000000" w:rsidRPr="00D21D69" w:rsidP="00D21D69">
      <w:pPr>
        <w:pStyle w:val="ListBullet2"/>
      </w:pPr>
      <w:r w:rsidRPr="00D21D69">
        <w:t>review of monitoring data, results and records generated by the candidate</w:t>
      </w:r>
    </w:p>
    <w:p w:rsidR="00000000" w:rsidRPr="00D21D69" w:rsidP="00D21D69">
      <w:pPr>
        <w:pStyle w:val="ListBullet2"/>
      </w:pPr>
      <w:r w:rsidRPr="00D21D69">
        <w:t>feedback from supervisors and clients regarding the candidate</w:t>
      </w:r>
      <w:r>
        <w:t>’</w:t>
      </w:r>
      <w:r w:rsidRPr="00D21D69">
        <w:t xml:space="preserve">s ability to work </w:t>
      </w:r>
      <w:r w:rsidRPr="00D21D69">
        <w:t>independently and conduct a range of monitoring activities reliably, safely and efficiently</w:t>
      </w:r>
    </w:p>
    <w:p w:rsidR="00000000" w:rsidRPr="00D21D69" w:rsidP="00D21D69">
      <w:pPr>
        <w:pStyle w:val="ListBullet2"/>
      </w:pPr>
      <w:r w:rsidRPr="00D21D69">
        <w:t>questions to assess understanding of workplace procedures, monitoring activities, test methods and interpretation of data relevant to their job role.</w:t>
      </w:r>
    </w:p>
    <w:p w:rsidR="00000000" w:rsidRPr="00D21D69" w:rsidP="00D21D69">
      <w:pPr>
        <w:pStyle w:val="ListBullet"/>
      </w:pPr>
      <w:r w:rsidRPr="00D21D69">
        <w:t>Access is req</w:t>
      </w:r>
      <w:r w:rsidRPr="00D21D69">
        <w:t>uired to instruments, equipment, materials, workplace documentation, procedures and specifications associated with this unit, including, but not limited to:</w:t>
      </w:r>
    </w:p>
    <w:p w:rsidR="00000000" w:rsidRPr="00D21D69" w:rsidP="00D21D69">
      <w:pPr>
        <w:pStyle w:val="ListBullet2"/>
      </w:pPr>
      <w:r w:rsidRPr="00D21D69">
        <w:t>access to civil engineering structures and relevant site documentation</w:t>
      </w:r>
    </w:p>
    <w:p w:rsidR="00000000" w:rsidRPr="00D21D69" w:rsidP="00D21D69">
      <w:pPr>
        <w:pStyle w:val="ListBullet2"/>
      </w:pPr>
      <w:r w:rsidRPr="00D21D69">
        <w:t>survey equipment, monitorin</w:t>
      </w:r>
      <w:r w:rsidRPr="00D21D69">
        <w:t>g instruments and equipment, such as transducers, accelerometers, load cells, pieziometers, strain gauges and thermocouples</w:t>
      </w:r>
    </w:p>
    <w:p w:rsidR="00000000" w:rsidRPr="00D21D69" w:rsidP="00D21D69">
      <w:pPr>
        <w:pStyle w:val="ListBullet2"/>
      </w:pPr>
      <w:r w:rsidRPr="00D21D69">
        <w:t>signal conditioning and data storage devices, such as amplifiers, data loggers and portable computers</w:t>
      </w:r>
    </w:p>
    <w:p w:rsidR="00000000" w:rsidRPr="00D21D69" w:rsidP="00D21D69">
      <w:pPr>
        <w:pStyle w:val="ListBullet2"/>
      </w:pPr>
      <w:r w:rsidRPr="00D21D69">
        <w:t>global positioning system (GPS</w:t>
      </w:r>
      <w:r w:rsidRPr="00D21D69">
        <w:t>) and communication equipment</w:t>
      </w:r>
    </w:p>
    <w:p w:rsidR="00000000" w:rsidRPr="00D21D69" w:rsidP="00D21D69">
      <w:pPr>
        <w:pStyle w:val="ListBullet2"/>
      </w:pPr>
      <w:r w:rsidRPr="00D21D69">
        <w:t>digital camera</w:t>
      </w:r>
    </w:p>
    <w:p w:rsidR="00000000" w:rsidRPr="00D21D69" w:rsidP="00D21D69">
      <w:pPr>
        <w:pStyle w:val="ListBullet2"/>
      </w:pPr>
      <w:r w:rsidRPr="00D21D69">
        <w:t>signage, warning lights and boundary tape/cones, umbrellas and shade structures</w:t>
      </w:r>
    </w:p>
    <w:p w:rsidR="00000000" w:rsidRPr="00D21D69" w:rsidP="00D21D69">
      <w:pPr>
        <w:pStyle w:val="ListBullet2"/>
      </w:pPr>
      <w:r w:rsidRPr="00D21D69">
        <w:t>workplace procedures, test methods and description of monitoring activities, data sets and records, and worksheets.</w:t>
      </w:r>
    </w:p>
    <w:p w:rsidR="00000000" w:rsidRPr="00D21D69" w:rsidP="00D21D69">
      <w:pPr>
        <w:pStyle w:val="ListBullet"/>
      </w:pPr>
      <w:r w:rsidRPr="00D21D69">
        <w:t xml:space="preserve">Assessors must satisfy the assessor competency requirements that are in place at the time of the assessment as set by the VET regulator.  </w:t>
      </w:r>
    </w:p>
    <w:p w:rsidR="00000000" w:rsidRPr="00D21D69" w:rsidP="00D21D69">
      <w:pPr>
        <w:pStyle w:val="ListBullet"/>
      </w:pPr>
      <w:r w:rsidRPr="00D21D69">
        <w:t>The assessor must demonstrate both technical competence and currency.</w:t>
      </w:r>
    </w:p>
    <w:p w:rsidR="00000000" w:rsidRPr="00D21D69" w:rsidP="00D21D69">
      <w:pPr>
        <w:pStyle w:val="ListBullet"/>
      </w:pPr>
      <w:r w:rsidRPr="00D21D69">
        <w:t>Technical competence can be demonstrated throug</w:t>
      </w:r>
      <w:r w:rsidRPr="00D21D69">
        <w:t>h:</w:t>
      </w:r>
    </w:p>
    <w:p w:rsidR="00000000" w:rsidRPr="00D21D69" w:rsidP="00D21D69">
      <w:pPr>
        <w:pStyle w:val="ListBullet2"/>
      </w:pPr>
      <w:r w:rsidRPr="00D21D69">
        <w:t>relevant VET or other qualification/Statement of Attainment AND/OR</w:t>
      </w:r>
    </w:p>
    <w:p w:rsidR="00000000" w:rsidRPr="00D21D69" w:rsidP="00D21D69">
      <w:pPr>
        <w:pStyle w:val="ListBullet2"/>
      </w:pPr>
      <w:r w:rsidRPr="00D21D69">
        <w:t>relevant workplace experience.</w:t>
      </w:r>
    </w:p>
    <w:p w:rsidR="00000000" w:rsidRPr="00D21D69" w:rsidP="00D21D69">
      <w:pPr>
        <w:pStyle w:val="ListBullet"/>
      </w:pPr>
      <w:r w:rsidRPr="00D21D69">
        <w:t>Currency can be demonstrated through:</w:t>
      </w:r>
    </w:p>
    <w:p w:rsidR="00000000" w:rsidRPr="00D21D69" w:rsidP="00D21D69">
      <w:pPr>
        <w:pStyle w:val="ListBullet2"/>
      </w:pPr>
      <w:r w:rsidRPr="00D21D69">
        <w:t>performing the competency being assessed as part of current employment OR</w:t>
      </w:r>
    </w:p>
    <w:p w:rsidR="00000000" w:rsidRPr="00D21D69" w:rsidP="00D21D69">
      <w:pPr>
        <w:pStyle w:val="ListBullet2"/>
      </w:pPr>
      <w:r w:rsidRPr="00D21D69">
        <w:t>having consulted with a laboratory about</w:t>
      </w:r>
      <w:r w:rsidRPr="00D21D69">
        <w:t xml:space="preserve"> performing the competency being assessed within the last twelve months.</w:t>
      </w:r>
    </w:p>
    <w:p w:rsidR="00000000" w:rsidRPr="00D21D69" w:rsidP="00D21D69">
      <w:pPr>
        <w:pStyle w:val="AllowPageBreak"/>
      </w:pPr>
    </w:p>
    <w:p w:rsidR="00000000" w:rsidRPr="00D21D69" w:rsidP="00D21D69">
      <w:pPr>
        <w:pStyle w:val="Heading1"/>
      </w:pPr>
      <w:bookmarkStart w:id="15" w:name="O_900375"/>
      <w:bookmarkEnd w:id="15"/>
      <w:r w:rsidRPr="00D21D69">
        <w:t>Links</w:t>
      </w:r>
    </w:p>
    <w:p w:rsidR="00000000" w:rsidRPr="00D21D69" w:rsidP="001124E2">
      <w:pPr>
        <w:pStyle w:val="BodyText"/>
      </w:pPr>
      <w:r w:rsidRPr="00D21D69">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D6F23">
        <w:rPr>
          <w:rStyle w:val="Hyperlink"/>
        </w:rPr>
        <w:t>https://vetnet.gov.au/Pages/TrainingDocs.aspx?q=5c63a03b-4a6b-4ae5-9560-1e3c5f462baa</w:t>
      </w:r>
      <w:r>
        <w:fldChar w:fldCharType="end"/>
      </w:r>
    </w:p>
    <w:p w:rsidR="00000000" w:rsidRPr="00D21D69" w:rsidP="00D21D69"/>
    <w:sectPr w:rsidSect="00D21D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E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E2" w:rsidP="00D21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124E2" w:rsidP="00D21D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24E2" w:rsidP="00D21D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69" w:rsidP="00D21D69">
    <w:pPr>
      <w:pStyle w:val="Footer"/>
      <w:framePr w:wrap="around"/>
    </w:pPr>
    <w:r>
      <w:fldChar w:fldCharType="begin"/>
    </w:r>
    <w:r>
      <w:instrText xml:space="preserve"> DOCPROPERTY  Subject  \* MERGEFORMAT </w:instrText>
    </w:r>
    <w:r>
      <w:fldChar w:fldCharType="separate"/>
    </w:r>
    <w:r w:rsidR="001124E2">
      <w:t>Approved</w:t>
    </w:r>
    <w:r w:rsidR="001124E2">
      <w:fldChar w:fldCharType="end"/>
    </w:r>
    <w:r>
      <w:tab/>
      <w:t xml:space="preserve">Page </w:t>
    </w:r>
    <w:r>
      <w:fldChar w:fldCharType="begin"/>
    </w:r>
    <w:r>
      <w:instrText xml:space="preserve"> PAGE  \* Arabic  \* MERGEFORMAT </w:instrText>
    </w:r>
    <w:r>
      <w:fldChar w:fldCharType="separate"/>
    </w:r>
    <w:r w:rsidR="001124E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4E2">
      <w:rPr>
        <w:noProof/>
      </w:rPr>
      <w:t>8</w:t>
    </w:r>
    <w:r>
      <w:rPr>
        <w:noProof/>
      </w:rPr>
      <w:fldChar w:fldCharType="end"/>
    </w:r>
  </w:p>
  <w:p w:rsidR="00D21D69" w:rsidP="00D21D69">
    <w:pPr>
      <w:pStyle w:val="Footer"/>
      <w:framePr w:wrap="around"/>
    </w:pPr>
    <w:r>
      <w:t xml:space="preserve">© Commonwealth of Australia, </w:t>
    </w:r>
    <w:r>
      <w:fldChar w:fldCharType="begin"/>
    </w:r>
    <w:r>
      <w:instrText xml:space="preserve"> DATE  \@ "yyyy"  \* MERGEFORMAT </w:instrText>
    </w:r>
    <w:r>
      <w:fldChar w:fldCharType="separate"/>
    </w:r>
    <w:r w:rsidR="001124E2">
      <w:rPr>
        <w:noProof/>
      </w:rPr>
      <w:t>2025</w:t>
    </w:r>
    <w:r>
      <w:fldChar w:fldCharType="end"/>
    </w:r>
    <w:r>
      <w:tab/>
    </w:r>
    <w:r>
      <w:fldChar w:fldCharType="begin"/>
    </w:r>
    <w:r>
      <w:instrText xml:space="preserve"> DOCPROPERTY  Author  \* MERGEFORMAT </w:instrText>
    </w:r>
    <w:r>
      <w:fldChar w:fldCharType="separate"/>
    </w:r>
    <w:r w:rsidR="001124E2">
      <w:t>Manufacturing Industry Skills Alliance</w:t>
    </w:r>
    <w:r w:rsidR="001124E2">
      <w:fldChar w:fldCharType="end"/>
    </w:r>
  </w:p>
  <w:p w:rsidR="00D21D69" w:rsidP="00D21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D69" w:rsidRPr="001124E2" w:rsidP="001124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E2" w:rsidRPr="002D2AF8" w:rsidP="00D21D69">
    <w:pPr>
      <w:pStyle w:val="Header"/>
      <w:framePr w:wrap="around"/>
    </w:pPr>
    <w:r>
      <w:fldChar w:fldCharType="begin"/>
    </w:r>
    <w:r>
      <w:instrText xml:space="preserve"> TITLE   \* MERGEFORMAT </w:instrText>
    </w:r>
    <w:r>
      <w:fldChar w:fldCharType="separate"/>
    </w:r>
    <w:r>
      <w:t>MSL974013 Monitor performance of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24E2" w:rsidP="00D21D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69" w:rsidRPr="002D2AF8" w:rsidP="00D21D69">
    <w:pPr>
      <w:pStyle w:val="Header"/>
      <w:framePr w:wrap="around"/>
    </w:pPr>
    <w:r>
      <w:fldChar w:fldCharType="begin"/>
    </w:r>
    <w:r>
      <w:instrText xml:space="preserve"> TITLE   \* MERGEFORMAT </w:instrText>
    </w:r>
    <w:r>
      <w:fldChar w:fldCharType="separate"/>
    </w:r>
    <w:r w:rsidR="001124E2">
      <w:t>MSL974013 Monitor performance of structures</w:t>
    </w:r>
    <w:r w:rsidR="001124E2">
      <w:fldChar w:fldCharType="end"/>
    </w:r>
    <w:r>
      <w:tab/>
      <w:t xml:space="preserve">Date this document was generated: </w:t>
    </w:r>
    <w:r>
      <w:fldChar w:fldCharType="begin"/>
    </w:r>
    <w:r>
      <w:instrText xml:space="preserve"> CREATEDATE  \@ "d MMMM yyyy"  \* MERGEFORMAT </w:instrText>
    </w:r>
    <w:r>
      <w:fldChar w:fldCharType="separate"/>
    </w:r>
    <w:r w:rsidR="001124E2">
      <w:rPr>
        <w:noProof/>
      </w:rPr>
      <w:t>2 March 2025</w:t>
    </w:r>
    <w:r>
      <w:fldChar w:fldCharType="end"/>
    </w:r>
  </w:p>
  <w:p w:rsidR="00D21D69" w:rsidP="00D21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125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2A3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8C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D69"/>
    <w:pPr>
      <w:spacing w:before="360" w:after="60"/>
      <w:outlineLvl w:val="0"/>
    </w:pPr>
    <w:rPr>
      <w:sz w:val="32"/>
    </w:rPr>
  </w:style>
  <w:style w:type="paragraph" w:styleId="Heading2">
    <w:name w:val="heading 2"/>
    <w:basedOn w:val="HeadingBase"/>
    <w:next w:val="BodyText"/>
    <w:link w:val="Heading2Char"/>
    <w:qFormat/>
    <w:rsid w:val="00D21D69"/>
    <w:pPr>
      <w:keepLines/>
      <w:spacing w:before="240" w:after="120"/>
      <w:outlineLvl w:val="1"/>
    </w:pPr>
    <w:rPr>
      <w:sz w:val="28"/>
      <w:szCs w:val="40"/>
    </w:rPr>
  </w:style>
  <w:style w:type="paragraph" w:styleId="Heading3">
    <w:name w:val="heading 3"/>
    <w:basedOn w:val="HeadingBase"/>
    <w:next w:val="BodyText"/>
    <w:link w:val="Heading3Char"/>
    <w:qFormat/>
    <w:rsid w:val="00D21D69"/>
    <w:pPr>
      <w:spacing w:before="180" w:after="120"/>
      <w:outlineLvl w:val="2"/>
    </w:pPr>
    <w:rPr>
      <w:spacing w:val="-10"/>
      <w:kern w:val="32"/>
    </w:rPr>
  </w:style>
  <w:style w:type="paragraph" w:styleId="Heading4">
    <w:name w:val="heading 4"/>
    <w:basedOn w:val="HeadingBase"/>
    <w:next w:val="BodyText"/>
    <w:link w:val="Heading4Char"/>
    <w:qFormat/>
    <w:rsid w:val="00D21D69"/>
    <w:pPr>
      <w:spacing w:before="160" w:after="120"/>
      <w:outlineLvl w:val="3"/>
    </w:pPr>
    <w:rPr>
      <w:sz w:val="22"/>
    </w:rPr>
  </w:style>
  <w:style w:type="paragraph" w:styleId="Heading5">
    <w:name w:val="heading 5"/>
    <w:basedOn w:val="HeadingBase"/>
    <w:next w:val="Normal"/>
    <w:link w:val="Heading5Char"/>
    <w:qFormat/>
    <w:rsid w:val="00D21D69"/>
    <w:pPr>
      <w:spacing w:before="80"/>
      <w:outlineLvl w:val="4"/>
    </w:pPr>
    <w:rPr>
      <w:color w:val="918585"/>
      <w:sz w:val="20"/>
    </w:rPr>
  </w:style>
  <w:style w:type="paragraph" w:styleId="Heading6">
    <w:name w:val="heading 6"/>
    <w:basedOn w:val="HeadingBase"/>
    <w:next w:val="Normal"/>
    <w:link w:val="Heading6Char"/>
    <w:qFormat/>
    <w:rsid w:val="00D21D69"/>
    <w:pPr>
      <w:spacing w:before="60"/>
      <w:outlineLvl w:val="5"/>
    </w:pPr>
    <w:rPr>
      <w:color w:val="918585"/>
      <w:sz w:val="20"/>
    </w:rPr>
  </w:style>
  <w:style w:type="paragraph" w:styleId="Heading7">
    <w:name w:val="heading 7"/>
    <w:basedOn w:val="Normal"/>
    <w:next w:val="Normal"/>
    <w:link w:val="Heading7Char"/>
    <w:qFormat/>
    <w:rsid w:val="00D21D69"/>
    <w:pPr>
      <w:ind w:left="720"/>
      <w:outlineLvl w:val="6"/>
    </w:pPr>
    <w:rPr>
      <w:i/>
    </w:rPr>
  </w:style>
  <w:style w:type="paragraph" w:styleId="Heading8">
    <w:name w:val="heading 8"/>
    <w:basedOn w:val="Normal"/>
    <w:next w:val="Normal"/>
    <w:link w:val="Heading8Char"/>
    <w:qFormat/>
    <w:rsid w:val="00D21D69"/>
    <w:pPr>
      <w:ind w:left="720"/>
      <w:outlineLvl w:val="7"/>
    </w:pPr>
    <w:rPr>
      <w:i/>
    </w:rPr>
  </w:style>
  <w:style w:type="paragraph" w:styleId="Heading9">
    <w:name w:val="heading 9"/>
    <w:basedOn w:val="Normal"/>
    <w:next w:val="Normal"/>
    <w:link w:val="Heading9Char"/>
    <w:qFormat/>
    <w:rsid w:val="00D21D69"/>
    <w:pPr>
      <w:ind w:left="720"/>
      <w:outlineLvl w:val="8"/>
    </w:pPr>
    <w:rPr>
      <w:i/>
    </w:rPr>
  </w:style>
  <w:style w:type="character" w:default="1" w:styleId="DefaultParagraphFont">
    <w:name w:val="Default Paragraph Font"/>
    <w:uiPriority w:val="1"/>
    <w:unhideWhenUsed/>
    <w:rsid w:val="00D21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D69"/>
  </w:style>
  <w:style w:type="character" w:customStyle="1" w:styleId="Heading1Char">
    <w:name w:val="Heading 1 Char"/>
    <w:basedOn w:val="DefaultParagraphFont"/>
    <w:link w:val="Heading1"/>
    <w:rsid w:val="00D21D69"/>
    <w:rPr>
      <w:rFonts w:ascii="Times New Roman" w:eastAsia="Times New Roman" w:hAnsi="Times New Roman" w:cs="Times New Roman"/>
      <w:b/>
      <w:sz w:val="32"/>
      <w:szCs w:val="20"/>
      <w:lang w:eastAsia="en-US"/>
    </w:rPr>
  </w:style>
  <w:style w:type="paragraph" w:styleId="BodyText">
    <w:name w:val="Body Text"/>
    <w:basedOn w:val="Normal"/>
    <w:link w:val="BodyTextChar"/>
    <w:rsid w:val="00D21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D69"/>
    <w:rPr>
      <w:rFonts w:ascii="Times New Roman" w:eastAsia="Times New Roman" w:hAnsi="Times New Roman" w:cs="Times New Roman"/>
      <w:sz w:val="24"/>
      <w:lang w:eastAsia="en-US"/>
    </w:rPr>
  </w:style>
  <w:style w:type="paragraph" w:styleId="ListBullet">
    <w:name w:val="List Bullet"/>
    <w:basedOn w:val="List"/>
    <w:rsid w:val="00D21D69"/>
    <w:pPr>
      <w:numPr>
        <w:numId w:val="12"/>
      </w:numPr>
      <w:tabs>
        <w:tab w:val="clear" w:pos="340"/>
      </w:tabs>
      <w:spacing w:before="40" w:after="40"/>
    </w:pPr>
  </w:style>
  <w:style w:type="character" w:customStyle="1" w:styleId="SpecialBold">
    <w:name w:val="Special Bold"/>
    <w:basedOn w:val="DefaultParagraphFont"/>
    <w:rsid w:val="00D21D69"/>
    <w:rPr>
      <w:b/>
      <w:spacing w:val="0"/>
    </w:rPr>
  </w:style>
  <w:style w:type="paragraph" w:styleId="ListBullet2">
    <w:name w:val="List Bullet 2"/>
    <w:basedOn w:val="List2"/>
    <w:rsid w:val="00D21D69"/>
    <w:pPr>
      <w:numPr>
        <w:numId w:val="13"/>
      </w:numPr>
      <w:tabs>
        <w:tab w:val="clear" w:pos="680"/>
      </w:tabs>
    </w:pPr>
  </w:style>
  <w:style w:type="paragraph" w:customStyle="1" w:styleId="SuperHeading">
    <w:name w:val="SuperHeading"/>
    <w:basedOn w:val="Normal"/>
    <w:rsid w:val="00D21D69"/>
    <w:pPr>
      <w:spacing w:before="240" w:after="120"/>
      <w:outlineLvl w:val="0"/>
    </w:pPr>
    <w:rPr>
      <w:rFonts w:ascii="Times New Roman" w:hAnsi="Times New Roman"/>
      <w:b/>
      <w:sz w:val="32"/>
    </w:rPr>
  </w:style>
  <w:style w:type="paragraph" w:customStyle="1" w:styleId="AllowPageBreak">
    <w:name w:val="AllowPageBreak"/>
    <w:rsid w:val="00D21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21D69"/>
    <w:rPr>
      <w:rFonts w:ascii="Symbol" w:hAnsi="Symbol"/>
    </w:rPr>
  </w:style>
  <w:style w:type="character" w:customStyle="1" w:styleId="Heading2Char">
    <w:name w:val="Heading 2 Char"/>
    <w:basedOn w:val="DefaultParagraphFont"/>
    <w:link w:val="Heading2"/>
    <w:rsid w:val="00D21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D69"/>
    <w:rPr>
      <w:rFonts w:ascii="Courier New" w:eastAsia="Times New Roman" w:hAnsi="Courier New" w:cs="Times New Roman"/>
      <w:i/>
      <w:szCs w:val="20"/>
      <w:lang w:eastAsia="en-US"/>
    </w:rPr>
  </w:style>
  <w:style w:type="paragraph" w:customStyle="1" w:styleId="HeadingBase">
    <w:name w:val="Heading Base"/>
    <w:rsid w:val="00D21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D69"/>
    <w:pPr>
      <w:tabs>
        <w:tab w:val="right" w:leader="dot" w:pos="9072"/>
      </w:tabs>
      <w:ind w:left="567"/>
    </w:pPr>
    <w:rPr>
      <w:szCs w:val="22"/>
    </w:rPr>
  </w:style>
  <w:style w:type="paragraph" w:customStyle="1" w:styleId="TOCBase">
    <w:name w:val="TOC Base"/>
    <w:rsid w:val="00D21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D69"/>
    <w:pPr>
      <w:tabs>
        <w:tab w:val="right" w:leader="dot" w:pos="9072"/>
      </w:tabs>
      <w:spacing w:before="40" w:after="40"/>
      <w:ind w:left="284"/>
    </w:pPr>
    <w:rPr>
      <w:rFonts w:ascii="Times New Roman" w:hAnsi="Times New Roman"/>
    </w:rPr>
  </w:style>
  <w:style w:type="paragraph" w:styleId="TOC1">
    <w:name w:val="toc 1"/>
    <w:basedOn w:val="TOCBase"/>
    <w:next w:val="Normal"/>
    <w:rsid w:val="00D21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D69"/>
    <w:rPr>
      <w:rFonts w:ascii="Times New Roman" w:eastAsia="Times New Roman" w:hAnsi="Times New Roman" w:cs="Times New Roman"/>
      <w:sz w:val="16"/>
      <w:lang w:eastAsia="en-US"/>
    </w:rPr>
  </w:style>
  <w:style w:type="paragraph" w:styleId="Title">
    <w:name w:val="Title"/>
    <w:basedOn w:val="HeadingBase"/>
    <w:link w:val="TitleChar"/>
    <w:qFormat/>
    <w:rsid w:val="00D21D69"/>
    <w:pPr>
      <w:spacing w:before="5040"/>
      <w:jc w:val="center"/>
    </w:pPr>
    <w:rPr>
      <w:sz w:val="48"/>
      <w:szCs w:val="72"/>
      <w:lang w:val="en-US"/>
    </w:rPr>
  </w:style>
  <w:style w:type="character" w:customStyle="1" w:styleId="TitleChar">
    <w:name w:val="Title Char"/>
    <w:basedOn w:val="DefaultParagraphFont"/>
    <w:link w:val="Title"/>
    <w:rsid w:val="00D21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D69"/>
    <w:pPr>
      <w:tabs>
        <w:tab w:val="left" w:pos="3600"/>
        <w:tab w:val="left" w:pos="3958"/>
      </w:tabs>
    </w:pPr>
  </w:style>
  <w:style w:type="paragraph" w:styleId="List">
    <w:name w:val="List"/>
    <w:basedOn w:val="BodyText"/>
    <w:next w:val="BodyText"/>
    <w:rsid w:val="00D21D69"/>
    <w:pPr>
      <w:tabs>
        <w:tab w:val="left" w:pos="340"/>
      </w:tabs>
      <w:spacing w:before="60" w:after="60"/>
      <w:ind w:left="340" w:hanging="340"/>
    </w:pPr>
  </w:style>
  <w:style w:type="paragraph" w:customStyle="1" w:styleId="Note">
    <w:name w:val="Note"/>
    <w:basedOn w:val="BodyText"/>
    <w:rsid w:val="00D21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D69"/>
    <w:pPr>
      <w:framePr w:wrap="auto" w:hAnchor="text" w:y="6049"/>
    </w:pPr>
    <w:rPr>
      <w:color w:val="000000"/>
      <w:sz w:val="40"/>
    </w:rPr>
  </w:style>
  <w:style w:type="paragraph" w:customStyle="1" w:styleId="TOCTitle">
    <w:name w:val="TOCTitle"/>
    <w:basedOn w:val="Heading1"/>
    <w:rsid w:val="00D21D69"/>
    <w:pPr>
      <w:spacing w:after="240"/>
      <w:jc w:val="center"/>
      <w:outlineLvl w:val="9"/>
    </w:pPr>
    <w:rPr>
      <w:caps/>
    </w:rPr>
  </w:style>
  <w:style w:type="paragraph" w:customStyle="1" w:styleId="Version">
    <w:name w:val="Version"/>
    <w:rsid w:val="00D21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D69"/>
    <w:pPr>
      <w:keepNext w:val="0"/>
      <w:tabs>
        <w:tab w:val="right" w:pos="4176"/>
      </w:tabs>
      <w:ind w:left="198" w:hanging="198"/>
    </w:pPr>
    <w:rPr>
      <w:rFonts w:ascii="Garamond" w:hAnsi="Garamond"/>
    </w:rPr>
  </w:style>
  <w:style w:type="paragraph" w:styleId="IndexHeading">
    <w:name w:val="index heading"/>
    <w:basedOn w:val="Normal"/>
    <w:next w:val="Index1"/>
    <w:semiHidden/>
    <w:rsid w:val="00D21D69"/>
    <w:pPr>
      <w:spacing w:before="120" w:after="120"/>
    </w:pPr>
    <w:rPr>
      <w:rFonts w:ascii="Arial" w:hAnsi="Arial"/>
      <w:b/>
      <w:color w:val="918585"/>
      <w:sz w:val="24"/>
    </w:rPr>
  </w:style>
  <w:style w:type="paragraph" w:styleId="Header">
    <w:name w:val="header"/>
    <w:basedOn w:val="Normal"/>
    <w:link w:val="HeaderChar"/>
    <w:rsid w:val="00D21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D69"/>
    <w:rPr>
      <w:rFonts w:ascii="Times New Roman" w:eastAsia="Times New Roman" w:hAnsi="Times New Roman" w:cs="Times New Roman"/>
      <w:sz w:val="16"/>
      <w:szCs w:val="20"/>
      <w:lang w:val="en-GB" w:eastAsia="en-US"/>
    </w:rPr>
  </w:style>
  <w:style w:type="paragraph" w:customStyle="1" w:styleId="Chapter">
    <w:name w:val="Chapter"/>
    <w:basedOn w:val="Normal"/>
    <w:rsid w:val="00D21D69"/>
    <w:pPr>
      <w:spacing w:before="240"/>
    </w:pPr>
    <w:rPr>
      <w:rFonts w:ascii="Times New Roman" w:hAnsi="Times New Roman"/>
      <w:smallCaps/>
      <w:spacing w:val="80"/>
      <w:sz w:val="28"/>
    </w:rPr>
  </w:style>
  <w:style w:type="paragraph" w:customStyle="1" w:styleId="InChapter">
    <w:name w:val="InChapter"/>
    <w:basedOn w:val="Heading3"/>
    <w:rsid w:val="00D21D69"/>
    <w:pPr>
      <w:spacing w:after="240"/>
      <w:outlineLvl w:val="9"/>
    </w:pPr>
    <w:rPr>
      <w:noProof/>
    </w:rPr>
  </w:style>
  <w:style w:type="paragraph" w:styleId="Index2">
    <w:name w:val="index 2"/>
    <w:basedOn w:val="Normal"/>
    <w:next w:val="Normal"/>
    <w:semiHidden/>
    <w:rsid w:val="00D21D69"/>
    <w:pPr>
      <w:tabs>
        <w:tab w:val="right" w:pos="4176"/>
      </w:tabs>
      <w:ind w:left="568" w:hanging="284"/>
    </w:pPr>
    <w:rPr>
      <w:rFonts w:ascii="Garamond" w:hAnsi="Garamond"/>
    </w:rPr>
  </w:style>
  <w:style w:type="paragraph" w:customStyle="1" w:styleId="Byline">
    <w:name w:val="Byline"/>
    <w:rsid w:val="00D21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D69"/>
    <w:pPr>
      <w:tabs>
        <w:tab w:val="clear" w:pos="3600"/>
        <w:tab w:val="clear" w:pos="3958"/>
      </w:tabs>
      <w:jc w:val="right"/>
    </w:pPr>
  </w:style>
  <w:style w:type="character" w:styleId="Emphasis">
    <w:name w:val="Emphasis"/>
    <w:basedOn w:val="DefaultParagraphFont"/>
    <w:qFormat/>
    <w:rsid w:val="00D21D69"/>
    <w:rPr>
      <w:i/>
    </w:rPr>
  </w:style>
  <w:style w:type="paragraph" w:styleId="Caption">
    <w:name w:val="caption"/>
    <w:basedOn w:val="BodyText"/>
    <w:next w:val="Normal"/>
    <w:qFormat/>
    <w:rsid w:val="00D21D69"/>
    <w:pPr>
      <w:framePr w:w="2268" w:hSpace="181" w:vSpace="181" w:wrap="around" w:vAnchor="text" w:hAnchor="page" w:x="1135" w:y="285" w:anchorLock="1"/>
    </w:pPr>
    <w:rPr>
      <w:i/>
    </w:rPr>
  </w:style>
  <w:style w:type="paragraph" w:customStyle="1" w:styleId="MiniTOCTitle">
    <w:name w:val="MiniTOCTitle"/>
    <w:basedOn w:val="Heading4"/>
    <w:rsid w:val="00D21D69"/>
    <w:pPr>
      <w:spacing w:before="240"/>
      <w:outlineLvl w:val="9"/>
    </w:pPr>
    <w:rPr>
      <w:noProof/>
      <w:sz w:val="24"/>
    </w:rPr>
  </w:style>
  <w:style w:type="paragraph" w:customStyle="1" w:styleId="MiniTOCItem">
    <w:name w:val="MiniTOCItem"/>
    <w:basedOn w:val="ListBullet"/>
    <w:rsid w:val="00D21D69"/>
    <w:pPr>
      <w:numPr>
        <w:numId w:val="0"/>
      </w:numPr>
      <w:tabs>
        <w:tab w:val="right" w:leader="dot" w:pos="6521"/>
      </w:tabs>
      <w:spacing w:before="0" w:after="0"/>
    </w:pPr>
  </w:style>
  <w:style w:type="paragraph" w:customStyle="1" w:styleId="TOFTitle">
    <w:name w:val="TOFTitle"/>
    <w:basedOn w:val="TOCTitle"/>
    <w:rsid w:val="00D21D69"/>
  </w:style>
  <w:style w:type="paragraph" w:styleId="TableofFigures">
    <w:name w:val="table of figures"/>
    <w:basedOn w:val="Normal"/>
    <w:next w:val="Normal"/>
    <w:semiHidden/>
    <w:rsid w:val="00D21D69"/>
    <w:pPr>
      <w:tabs>
        <w:tab w:val="right" w:leader="dot" w:pos="9072"/>
      </w:tabs>
      <w:ind w:left="970" w:hanging="403"/>
    </w:pPr>
    <w:rPr>
      <w:rFonts w:ascii="Times New Roman" w:hAnsi="Times New Roman"/>
      <w:b/>
    </w:rPr>
  </w:style>
  <w:style w:type="paragraph" w:styleId="ListNumber">
    <w:name w:val="List Number"/>
    <w:basedOn w:val="List"/>
    <w:rsid w:val="00D21D69"/>
    <w:pPr>
      <w:numPr>
        <w:numId w:val="15"/>
      </w:numPr>
      <w:tabs>
        <w:tab w:val="clear" w:pos="340"/>
      </w:tabs>
    </w:pPr>
  </w:style>
  <w:style w:type="character" w:customStyle="1" w:styleId="WingdingSymbols">
    <w:name w:val="Wingding Symbols"/>
    <w:rsid w:val="00D21D69"/>
    <w:rPr>
      <w:rFonts w:ascii="Wingdings" w:hAnsi="Wingdings"/>
    </w:rPr>
  </w:style>
  <w:style w:type="paragraph" w:customStyle="1" w:styleId="TableHeading">
    <w:name w:val="Table Heading"/>
    <w:basedOn w:val="HeadingBase"/>
    <w:rsid w:val="00D21D69"/>
    <w:pPr>
      <w:keepLines/>
      <w:pBdr>
        <w:bottom w:val="single" w:sz="6" w:space="1" w:color="918585"/>
      </w:pBdr>
      <w:spacing w:before="240"/>
    </w:pPr>
  </w:style>
  <w:style w:type="character" w:customStyle="1" w:styleId="HotSpot">
    <w:name w:val="HotSpot"/>
    <w:rsid w:val="00D21D69"/>
    <w:rPr>
      <w:color w:val="0033CC"/>
      <w:u w:val="none"/>
    </w:rPr>
  </w:style>
  <w:style w:type="paragraph" w:customStyle="1" w:styleId="BodyTextRight">
    <w:name w:val="Body Text Right"/>
    <w:basedOn w:val="BodyText"/>
    <w:rsid w:val="00D21D69"/>
    <w:pPr>
      <w:spacing w:before="0" w:after="0"/>
      <w:jc w:val="right"/>
    </w:pPr>
  </w:style>
  <w:style w:type="paragraph" w:styleId="Index3">
    <w:name w:val="index 3"/>
    <w:basedOn w:val="ListNumber2"/>
    <w:next w:val="Normal"/>
    <w:semiHidden/>
    <w:rsid w:val="00D21D69"/>
    <w:pPr>
      <w:numPr>
        <w:numId w:val="0"/>
      </w:numPr>
      <w:tabs>
        <w:tab w:val="right" w:leader="dot" w:pos="4176"/>
      </w:tabs>
    </w:pPr>
  </w:style>
  <w:style w:type="paragraph" w:styleId="ListNumber2">
    <w:name w:val="List Number 2"/>
    <w:basedOn w:val="List2"/>
    <w:rsid w:val="00D21D69"/>
    <w:pPr>
      <w:numPr>
        <w:numId w:val="10"/>
      </w:numPr>
      <w:tabs>
        <w:tab w:val="clear" w:pos="1060"/>
      </w:tabs>
    </w:pPr>
  </w:style>
  <w:style w:type="paragraph" w:customStyle="1" w:styleId="MarginNote">
    <w:name w:val="Margin Note"/>
    <w:basedOn w:val="BodyText"/>
    <w:rsid w:val="00D21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D69"/>
    <w:rPr>
      <w:sz w:val="32"/>
    </w:rPr>
  </w:style>
  <w:style w:type="paragraph" w:customStyle="1" w:styleId="HeadingProcedure">
    <w:name w:val="Heading Procedure"/>
    <w:basedOn w:val="HeadingBase"/>
    <w:next w:val="Normal"/>
    <w:rsid w:val="00D21D69"/>
    <w:pPr>
      <w:tabs>
        <w:tab w:val="left" w:pos="0"/>
      </w:tabs>
      <w:spacing w:before="120" w:after="60"/>
    </w:pPr>
    <w:rPr>
      <w:i/>
      <w:color w:val="918585"/>
      <w:sz w:val="22"/>
    </w:rPr>
  </w:style>
  <w:style w:type="paragraph" w:customStyle="1" w:styleId="TableBodyText">
    <w:name w:val="Table Body Text"/>
    <w:basedOn w:val="BodyText"/>
    <w:rsid w:val="00D21D69"/>
    <w:pPr>
      <w:spacing w:before="60" w:after="60"/>
    </w:pPr>
  </w:style>
  <w:style w:type="paragraph" w:styleId="ListContinue">
    <w:name w:val="List Continue"/>
    <w:basedOn w:val="List"/>
    <w:rsid w:val="00D21D69"/>
    <w:pPr>
      <w:ind w:firstLine="0"/>
    </w:pPr>
  </w:style>
  <w:style w:type="paragraph" w:customStyle="1" w:styleId="ListNote">
    <w:name w:val="List Note"/>
    <w:basedOn w:val="List"/>
    <w:rsid w:val="00D21D69"/>
    <w:pPr>
      <w:pBdr>
        <w:top w:val="single" w:sz="6" w:space="2" w:color="918585"/>
        <w:bottom w:val="single" w:sz="6" w:space="2" w:color="918585"/>
      </w:pBdr>
      <w:tabs>
        <w:tab w:val="left" w:pos="1021"/>
      </w:tabs>
      <w:ind w:firstLine="0"/>
    </w:pPr>
  </w:style>
  <w:style w:type="paragraph" w:customStyle="1" w:styleId="Warning">
    <w:name w:val="Warning"/>
    <w:basedOn w:val="BodyText"/>
    <w:rsid w:val="00D21D69"/>
    <w:pPr>
      <w:shd w:val="clear" w:color="auto" w:fill="D9D9D9"/>
      <w:tabs>
        <w:tab w:val="left" w:pos="992"/>
      </w:tabs>
      <w:ind w:left="119" w:right="119"/>
    </w:pPr>
    <w:rPr>
      <w:sz w:val="20"/>
    </w:rPr>
  </w:style>
  <w:style w:type="paragraph" w:customStyle="1" w:styleId="MarginIcons">
    <w:name w:val="Margin Icons"/>
    <w:basedOn w:val="BodyText"/>
    <w:rsid w:val="00D21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D69"/>
    <w:rPr>
      <w:rFonts w:ascii="Courier New" w:hAnsi="Courier New"/>
    </w:rPr>
  </w:style>
  <w:style w:type="paragraph" w:customStyle="1" w:styleId="NoteBullet">
    <w:name w:val="Note Bullet"/>
    <w:basedOn w:val="Note"/>
    <w:rsid w:val="00D21D69"/>
    <w:pPr>
      <w:tabs>
        <w:tab w:val="clear" w:pos="680"/>
      </w:tabs>
      <w:spacing w:before="60" w:after="60"/>
    </w:pPr>
  </w:style>
  <w:style w:type="paragraph" w:customStyle="1" w:styleId="SubHeading2">
    <w:name w:val="SubHeading2"/>
    <w:basedOn w:val="HeadingBase"/>
    <w:rsid w:val="00D21D69"/>
    <w:pPr>
      <w:spacing w:before="240" w:after="60"/>
    </w:pPr>
    <w:rPr>
      <w:sz w:val="20"/>
    </w:rPr>
  </w:style>
  <w:style w:type="paragraph" w:customStyle="1" w:styleId="SubHeading1">
    <w:name w:val="SubHeading1"/>
    <w:basedOn w:val="HeadingBase"/>
    <w:rsid w:val="00D21D69"/>
    <w:pPr>
      <w:spacing w:before="240" w:after="60"/>
    </w:pPr>
    <w:rPr>
      <w:color w:val="918585"/>
      <w:sz w:val="22"/>
    </w:rPr>
  </w:style>
  <w:style w:type="paragraph" w:customStyle="1" w:styleId="SideHeading">
    <w:name w:val="Side Heading"/>
    <w:basedOn w:val="HeadingBase"/>
    <w:rsid w:val="00D21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D69"/>
    <w:pPr>
      <w:tabs>
        <w:tab w:val="num" w:pos="360"/>
      </w:tabs>
    </w:pPr>
  </w:style>
  <w:style w:type="paragraph" w:styleId="PlainText">
    <w:name w:val="Plain Text"/>
    <w:basedOn w:val="Normal"/>
    <w:link w:val="PlainTextChar"/>
    <w:rsid w:val="00D21D69"/>
    <w:rPr>
      <w:sz w:val="20"/>
    </w:rPr>
  </w:style>
  <w:style w:type="character" w:customStyle="1" w:styleId="PlainTextChar">
    <w:name w:val="Plain Text Char"/>
    <w:basedOn w:val="DefaultParagraphFont"/>
    <w:link w:val="PlainText"/>
    <w:rsid w:val="00D21D69"/>
    <w:rPr>
      <w:rFonts w:ascii="Courier New" w:eastAsia="Times New Roman" w:hAnsi="Courier New" w:cs="Times New Roman"/>
      <w:sz w:val="20"/>
      <w:szCs w:val="20"/>
      <w:lang w:eastAsia="en-US"/>
    </w:rPr>
  </w:style>
  <w:style w:type="character" w:customStyle="1" w:styleId="MenuOption">
    <w:name w:val="Menu Option"/>
    <w:basedOn w:val="DefaultParagraphFont"/>
    <w:rsid w:val="00D21D69"/>
    <w:rPr>
      <w:b/>
      <w:smallCaps/>
    </w:rPr>
  </w:style>
  <w:style w:type="paragraph" w:customStyle="1" w:styleId="TableListNumber">
    <w:name w:val="Table List Number"/>
    <w:basedOn w:val="ListNumber"/>
    <w:rsid w:val="00D21D69"/>
    <w:pPr>
      <w:numPr>
        <w:numId w:val="0"/>
      </w:numPr>
    </w:pPr>
  </w:style>
  <w:style w:type="paragraph" w:styleId="TOC4">
    <w:name w:val="toc 4"/>
    <w:basedOn w:val="TOCBase"/>
    <w:next w:val="Normal"/>
    <w:semiHidden/>
    <w:rsid w:val="00D21D69"/>
    <w:pPr>
      <w:tabs>
        <w:tab w:val="right" w:leader="dot" w:pos="9071"/>
      </w:tabs>
      <w:ind w:left="1701"/>
    </w:pPr>
  </w:style>
  <w:style w:type="paragraph" w:customStyle="1" w:styleId="ListAlpha">
    <w:name w:val="List Alpha"/>
    <w:basedOn w:val="List"/>
    <w:rsid w:val="00D21D69"/>
    <w:pPr>
      <w:numPr>
        <w:numId w:val="9"/>
      </w:numPr>
    </w:pPr>
  </w:style>
  <w:style w:type="paragraph" w:customStyle="1" w:styleId="ListAlpha2">
    <w:name w:val="List Alpha 2"/>
    <w:basedOn w:val="List2"/>
    <w:rsid w:val="00D21D69"/>
    <w:pPr>
      <w:numPr>
        <w:numId w:val="8"/>
      </w:numPr>
    </w:pPr>
  </w:style>
  <w:style w:type="paragraph" w:styleId="List2">
    <w:name w:val="List 2"/>
    <w:basedOn w:val="BodyText"/>
    <w:rsid w:val="00D21D69"/>
    <w:pPr>
      <w:tabs>
        <w:tab w:val="left" w:pos="680"/>
      </w:tabs>
      <w:spacing w:before="60" w:after="60"/>
      <w:ind w:left="680" w:hanging="340"/>
    </w:pPr>
  </w:style>
  <w:style w:type="paragraph" w:styleId="List3">
    <w:name w:val="List 3"/>
    <w:basedOn w:val="BodyText"/>
    <w:rsid w:val="00D21D69"/>
    <w:pPr>
      <w:tabs>
        <w:tab w:val="left" w:pos="1021"/>
      </w:tabs>
      <w:spacing w:before="60" w:after="60"/>
      <w:ind w:left="1020" w:hanging="340"/>
    </w:pPr>
  </w:style>
  <w:style w:type="paragraph" w:styleId="List4">
    <w:name w:val="List 4"/>
    <w:basedOn w:val="BodyText"/>
    <w:rsid w:val="00D21D69"/>
    <w:pPr>
      <w:tabs>
        <w:tab w:val="left" w:pos="1361"/>
      </w:tabs>
      <w:spacing w:before="60" w:after="60"/>
      <w:ind w:left="1361" w:hanging="340"/>
    </w:pPr>
  </w:style>
  <w:style w:type="paragraph" w:styleId="List5">
    <w:name w:val="List 5"/>
    <w:basedOn w:val="BodyText"/>
    <w:rsid w:val="00D21D69"/>
    <w:pPr>
      <w:tabs>
        <w:tab w:val="left" w:pos="1701"/>
      </w:tabs>
      <w:spacing w:before="60" w:after="60"/>
      <w:ind w:left="1701" w:hanging="340"/>
    </w:pPr>
  </w:style>
  <w:style w:type="paragraph" w:styleId="ListBullet3">
    <w:name w:val="List Bullet 3"/>
    <w:basedOn w:val="List3"/>
    <w:rsid w:val="00D21D69"/>
    <w:pPr>
      <w:numPr>
        <w:numId w:val="14"/>
      </w:numPr>
      <w:tabs>
        <w:tab w:val="clear" w:pos="1021"/>
      </w:tabs>
      <w:ind w:left="1037" w:hanging="357"/>
    </w:pPr>
  </w:style>
  <w:style w:type="paragraph" w:styleId="ListBullet4">
    <w:name w:val="List Bullet 4"/>
    <w:basedOn w:val="List4"/>
    <w:rsid w:val="00D21D69"/>
    <w:pPr>
      <w:numPr>
        <w:numId w:val="3"/>
      </w:numPr>
      <w:tabs>
        <w:tab w:val="clear" w:pos="1361"/>
      </w:tabs>
    </w:pPr>
  </w:style>
  <w:style w:type="paragraph" w:styleId="ListBullet5">
    <w:name w:val="List Bullet 5"/>
    <w:basedOn w:val="List5"/>
    <w:rsid w:val="00D21D69"/>
    <w:pPr>
      <w:numPr>
        <w:numId w:val="4"/>
      </w:numPr>
    </w:pPr>
  </w:style>
  <w:style w:type="paragraph" w:styleId="ListContinue2">
    <w:name w:val="List Continue 2"/>
    <w:basedOn w:val="List2"/>
    <w:rsid w:val="00D21D69"/>
    <w:pPr>
      <w:ind w:firstLine="0"/>
    </w:pPr>
  </w:style>
  <w:style w:type="paragraph" w:styleId="ListContinue3">
    <w:name w:val="List Continue 3"/>
    <w:basedOn w:val="List3"/>
    <w:rsid w:val="00D21D69"/>
    <w:pPr>
      <w:ind w:left="1021" w:firstLine="0"/>
    </w:pPr>
  </w:style>
  <w:style w:type="paragraph" w:styleId="ListContinue4">
    <w:name w:val="List Continue 4"/>
    <w:basedOn w:val="List4"/>
    <w:rsid w:val="00D21D69"/>
    <w:pPr>
      <w:ind w:firstLine="0"/>
    </w:pPr>
  </w:style>
  <w:style w:type="paragraph" w:styleId="ListContinue5">
    <w:name w:val="List Continue 5"/>
    <w:basedOn w:val="List5"/>
    <w:rsid w:val="00D21D69"/>
    <w:pPr>
      <w:ind w:firstLine="0"/>
    </w:pPr>
  </w:style>
  <w:style w:type="paragraph" w:styleId="ListNumber3">
    <w:name w:val="List Number 3"/>
    <w:basedOn w:val="List3"/>
    <w:rsid w:val="00D21D69"/>
    <w:pPr>
      <w:numPr>
        <w:numId w:val="5"/>
      </w:numPr>
    </w:pPr>
  </w:style>
  <w:style w:type="paragraph" w:styleId="ListNumber4">
    <w:name w:val="List Number 4"/>
    <w:basedOn w:val="List4"/>
    <w:rsid w:val="00D21D69"/>
    <w:pPr>
      <w:numPr>
        <w:numId w:val="6"/>
      </w:numPr>
    </w:pPr>
  </w:style>
  <w:style w:type="paragraph" w:styleId="ListNumber5">
    <w:name w:val="List Number 5"/>
    <w:basedOn w:val="List5"/>
    <w:rsid w:val="00D21D69"/>
    <w:pPr>
      <w:numPr>
        <w:numId w:val="7"/>
      </w:numPr>
    </w:pPr>
  </w:style>
  <w:style w:type="paragraph" w:styleId="BlockText">
    <w:name w:val="Block Text"/>
    <w:basedOn w:val="Normal"/>
    <w:rsid w:val="00D21D69"/>
    <w:pPr>
      <w:spacing w:after="120"/>
      <w:ind w:left="1440" w:right="1440"/>
    </w:pPr>
  </w:style>
  <w:style w:type="character" w:customStyle="1" w:styleId="Subscript">
    <w:name w:val="Subscript"/>
    <w:basedOn w:val="DefaultParagraphFont"/>
    <w:rsid w:val="00D21D69"/>
    <w:rPr>
      <w:sz w:val="16"/>
      <w:vertAlign w:val="subscript"/>
    </w:rPr>
  </w:style>
  <w:style w:type="character" w:customStyle="1" w:styleId="Superscript">
    <w:name w:val="Superscript"/>
    <w:basedOn w:val="DefaultParagraphFont"/>
    <w:rsid w:val="00D21D69"/>
    <w:rPr>
      <w:sz w:val="16"/>
      <w:vertAlign w:val="superscript"/>
    </w:rPr>
  </w:style>
  <w:style w:type="character" w:customStyle="1" w:styleId="MenuOptions">
    <w:name w:val="Menu Options"/>
    <w:basedOn w:val="DefaultParagraphFont"/>
    <w:rsid w:val="00D21D69"/>
    <w:rPr>
      <w:rFonts w:ascii="Arial Narrow" w:hAnsi="Arial Narrow"/>
      <w:smallCaps/>
    </w:rPr>
  </w:style>
  <w:style w:type="character" w:customStyle="1" w:styleId="Buttons">
    <w:name w:val="Buttons"/>
    <w:basedOn w:val="DefaultParagraphFont"/>
    <w:rsid w:val="00D21D69"/>
    <w:rPr>
      <w:b/>
    </w:rPr>
  </w:style>
  <w:style w:type="character" w:customStyle="1" w:styleId="Underlined">
    <w:name w:val="Underlined"/>
    <w:basedOn w:val="DefaultParagraphFont"/>
    <w:rsid w:val="00D21D69"/>
    <w:rPr>
      <w:u w:val="single"/>
    </w:rPr>
  </w:style>
  <w:style w:type="paragraph" w:customStyle="1" w:styleId="TableBodyTextRight">
    <w:name w:val="Table Body Text Right"/>
    <w:basedOn w:val="TableBodyText"/>
    <w:rsid w:val="00D21D69"/>
    <w:pPr>
      <w:widowControl w:val="0"/>
      <w:autoSpaceDE w:val="0"/>
      <w:autoSpaceDN w:val="0"/>
      <w:adjustRightInd w:val="0"/>
      <w:jc w:val="right"/>
    </w:pPr>
    <w:rPr>
      <w:rFonts w:cs="Arial"/>
      <w:szCs w:val="18"/>
    </w:rPr>
  </w:style>
  <w:style w:type="paragraph" w:customStyle="1" w:styleId="CopyrightText">
    <w:name w:val="Copyright Text"/>
    <w:basedOn w:val="BodyText"/>
    <w:rsid w:val="00D21D69"/>
    <w:rPr>
      <w:sz w:val="18"/>
    </w:rPr>
  </w:style>
  <w:style w:type="paragraph" w:customStyle="1" w:styleId="BodySmallRight">
    <w:name w:val="Body Small Right"/>
    <w:basedOn w:val="BodyTextRight"/>
    <w:rsid w:val="00D21D69"/>
    <w:rPr>
      <w:sz w:val="18"/>
      <w:szCs w:val="18"/>
    </w:rPr>
  </w:style>
  <w:style w:type="paragraph" w:customStyle="1" w:styleId="MarginEdition">
    <w:name w:val="Margin Edition"/>
    <w:basedOn w:val="MarginNote"/>
    <w:rsid w:val="00D21D69"/>
    <w:pPr>
      <w:spacing w:before="0" w:after="0"/>
    </w:pPr>
    <w:rPr>
      <w:rFonts w:ascii="Times New Roman" w:hAnsi="Times New Roman"/>
      <w:color w:val="999999"/>
    </w:rPr>
  </w:style>
  <w:style w:type="paragraph" w:customStyle="1" w:styleId="Spacer">
    <w:name w:val="Spacer"/>
    <w:basedOn w:val="Normal"/>
    <w:rsid w:val="00D21D69"/>
    <w:rPr>
      <w:sz w:val="2"/>
      <w:szCs w:val="2"/>
    </w:rPr>
  </w:style>
  <w:style w:type="character" w:customStyle="1" w:styleId="Small">
    <w:name w:val="Small"/>
    <w:basedOn w:val="DefaultParagraphFont"/>
    <w:rsid w:val="00D21D69"/>
    <w:rPr>
      <w:sz w:val="16"/>
    </w:rPr>
  </w:style>
  <w:style w:type="paragraph" w:customStyle="1" w:styleId="WideTable">
    <w:name w:val="Wide Table"/>
    <w:basedOn w:val="Normal"/>
    <w:rsid w:val="00D21D69"/>
    <w:pPr>
      <w:ind w:left="-1418"/>
    </w:pPr>
    <w:rPr>
      <w:sz w:val="2"/>
      <w:szCs w:val="2"/>
    </w:rPr>
  </w:style>
  <w:style w:type="character" w:styleId="PageNumber">
    <w:name w:val="page number"/>
    <w:basedOn w:val="DefaultParagraphFont"/>
    <w:rsid w:val="00D21D69"/>
  </w:style>
  <w:style w:type="paragraph" w:styleId="Quote">
    <w:name w:val="Quote"/>
    <w:basedOn w:val="Heading1"/>
    <w:link w:val="QuoteChar"/>
    <w:qFormat/>
    <w:rsid w:val="00D21D69"/>
    <w:rPr>
      <w:b w:val="0"/>
      <w:sz w:val="72"/>
      <w:szCs w:val="72"/>
      <w:lang w:val="en-NZ"/>
    </w:rPr>
  </w:style>
  <w:style w:type="character" w:customStyle="1" w:styleId="QuoteChar">
    <w:name w:val="Quote Char"/>
    <w:basedOn w:val="DefaultParagraphFont"/>
    <w:link w:val="Quote"/>
    <w:rsid w:val="00D21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D69"/>
    <w:pPr>
      <w:pageBreakBefore/>
    </w:pPr>
  </w:style>
  <w:style w:type="paragraph" w:customStyle="1" w:styleId="Border">
    <w:name w:val="Border"/>
    <w:basedOn w:val="Normal"/>
    <w:qFormat/>
    <w:rsid w:val="00D21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D69"/>
    <w:rPr>
      <w:b/>
      <w:bCs/>
      <w:i/>
      <w:iCs/>
      <w:color w:val="auto"/>
    </w:rPr>
  </w:style>
  <w:style w:type="paragraph" w:styleId="IntenseQuote">
    <w:name w:val="Intense Quote"/>
    <w:basedOn w:val="Normal"/>
    <w:next w:val="Normal"/>
    <w:link w:val="IntenseQuoteChar"/>
    <w:uiPriority w:val="30"/>
    <w:qFormat/>
    <w:rsid w:val="00D21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D69"/>
    <w:rPr>
      <w:smallCaps/>
      <w:color w:val="auto"/>
      <w:u w:val="single"/>
    </w:rPr>
  </w:style>
  <w:style w:type="character" w:styleId="IntenseReference">
    <w:name w:val="Intense Reference"/>
    <w:basedOn w:val="DefaultParagraphFont"/>
    <w:uiPriority w:val="32"/>
    <w:qFormat/>
    <w:rsid w:val="00D21D69"/>
    <w:rPr>
      <w:b/>
      <w:bCs/>
      <w:smallCaps/>
      <w:color w:val="auto"/>
      <w:spacing w:val="5"/>
      <w:u w:val="single"/>
    </w:rPr>
  </w:style>
  <w:style w:type="paragraph" w:customStyle="1" w:styleId="2ColumnHeading">
    <w:name w:val="2Column Heading"/>
    <w:basedOn w:val="BodyText"/>
    <w:qFormat/>
    <w:rsid w:val="00D21D69"/>
    <w:pPr>
      <w:spacing w:after="60"/>
      <w:ind w:left="-2268"/>
    </w:pPr>
    <w:rPr>
      <w:b/>
    </w:rPr>
  </w:style>
  <w:style w:type="paragraph" w:customStyle="1" w:styleId="Heading1TOC">
    <w:name w:val="Heading1 TOC"/>
    <w:basedOn w:val="Normal"/>
    <w:qFormat/>
    <w:rsid w:val="00D21D69"/>
    <w:pPr>
      <w:spacing w:before="240" w:after="120"/>
    </w:pPr>
    <w:rPr>
      <w:rFonts w:ascii="Times New Roman" w:hAnsi="Times New Roman"/>
      <w:b/>
      <w:sz w:val="32"/>
    </w:rPr>
  </w:style>
  <w:style w:type="paragraph" w:customStyle="1" w:styleId="Heading2TOC">
    <w:name w:val="Heading2 TOC"/>
    <w:basedOn w:val="Normal"/>
    <w:qFormat/>
    <w:rsid w:val="00D21D69"/>
    <w:pPr>
      <w:spacing w:before="240" w:after="60"/>
    </w:pPr>
    <w:rPr>
      <w:rFonts w:ascii="Times New Roman" w:hAnsi="Times New Roman"/>
      <w:b/>
      <w:sz w:val="28"/>
    </w:rPr>
  </w:style>
  <w:style w:type="character" w:customStyle="1" w:styleId="Underline">
    <w:name w:val="Underline"/>
    <w:basedOn w:val="DefaultParagraphFont"/>
    <w:qFormat/>
    <w:rsid w:val="00D21D69"/>
    <w:rPr>
      <w:u w:val="single"/>
    </w:rPr>
  </w:style>
  <w:style w:type="character" w:customStyle="1" w:styleId="BoldandItalics">
    <w:name w:val="Bold and Italics"/>
    <w:qFormat/>
    <w:rsid w:val="00D21D69"/>
    <w:rPr>
      <w:b/>
      <w:i/>
      <w:u w:val="none"/>
    </w:rPr>
  </w:style>
  <w:style w:type="paragraph" w:styleId="BalloonText">
    <w:name w:val="Balloon Text"/>
    <w:basedOn w:val="Normal"/>
    <w:link w:val="BalloonTextChar"/>
    <w:rsid w:val="00D21D69"/>
    <w:rPr>
      <w:rFonts w:ascii="Tahoma" w:hAnsi="Tahoma" w:cs="Tahoma"/>
      <w:sz w:val="16"/>
      <w:szCs w:val="16"/>
    </w:rPr>
  </w:style>
  <w:style w:type="character" w:customStyle="1" w:styleId="BalloonTextChar">
    <w:name w:val="Balloon Text Char"/>
    <w:basedOn w:val="DefaultParagraphFont"/>
    <w:link w:val="BalloonText"/>
    <w:rsid w:val="00D21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D69"/>
    <w:rPr>
      <w:b/>
      <w:color w:val="660033"/>
      <w:spacing w:val="0"/>
    </w:rPr>
  </w:style>
  <w:style w:type="paragraph" w:customStyle="1" w:styleId="Nameditemlist">
    <w:name w:val="Named item list"/>
    <w:basedOn w:val="BodyText"/>
    <w:qFormat/>
    <w:rsid w:val="00D21D69"/>
    <w:pPr>
      <w:tabs>
        <w:tab w:val="left" w:pos="2835"/>
      </w:tabs>
      <w:ind w:left="2835" w:hanging="2835"/>
    </w:pPr>
  </w:style>
  <w:style w:type="paragraph" w:customStyle="1" w:styleId="BodyTextnopadding">
    <w:name w:val="Body Text no padding"/>
    <w:basedOn w:val="BodyText"/>
    <w:qFormat/>
    <w:rsid w:val="00D21D69"/>
    <w:pPr>
      <w:spacing w:before="0" w:after="0"/>
    </w:pPr>
  </w:style>
  <w:style w:type="paragraph" w:customStyle="1" w:styleId="BodyTextBold">
    <w:name w:val="Body Text Bold"/>
    <w:basedOn w:val="BodyText"/>
    <w:qFormat/>
    <w:rsid w:val="00D21D69"/>
    <w:rPr>
      <w:b/>
    </w:rPr>
  </w:style>
  <w:style w:type="character" w:styleId="Hyperlink">
    <w:name w:val="Hyperlink"/>
    <w:basedOn w:val="DefaultParagraphFont"/>
    <w:uiPriority w:val="99"/>
    <w:unhideWhenUsed/>
    <w:rsid w:val="001124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2168</Words>
  <Characters>14335</Characters>
  <Application>Microsoft Office Word</Application>
  <DocSecurity>0</DocSecurity>
  <Lines>477</Lines>
  <Paragraphs>261</Paragraphs>
  <ScaleCrop>false</ScaleCrop>
  <Company>Author-it Software Corporation Ltd.</Company>
  <LinksUpToDate>false</LinksUpToDate>
  <CharactersWithSpaces>16242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MSL974013 Monitor performance of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