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D2F" w:rsidP="006C0D2F">
      <w:pPr>
        <w:pStyle w:val="Title"/>
      </w:pPr>
      <w:r>
        <w:fldChar w:fldCharType="begin"/>
      </w:r>
      <w:r>
        <w:instrText xml:space="preserve"> TITLE   \* MERGEFORMAT </w:instrText>
      </w:r>
      <w:r>
        <w:fldChar w:fldCharType="separate"/>
      </w:r>
      <w:r>
        <w:t>MSL974009 Undertake field-based, remote-sensing monitoring</w:t>
      </w:r>
      <w:r>
        <w:fldChar w:fldCharType="end"/>
      </w:r>
    </w:p>
    <w:p w:rsidR="006C0D2F" w:rsidP="006C0D2F">
      <w:pPr>
        <w:pStyle w:val="Version"/>
        <w:sectPr w:rsidSect="00566E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EB0" w:rsidP="00566EB0">
      <w:pPr>
        <w:pStyle w:val="SuperHeading"/>
      </w:pPr>
      <w:r w:rsidRPr="00566EB0">
        <w:t>MSL974009 Undertake field-based, remote-sensing monitoring</w:t>
      </w:r>
    </w:p>
    <w:p w:rsidR="00000000" w:rsidRPr="00566EB0" w:rsidP="00566EB0">
      <w:pPr>
        <w:pStyle w:val="Heading1"/>
      </w:pPr>
      <w:bookmarkStart w:id="1" w:name="O_899545"/>
      <w:bookmarkEnd w:id="1"/>
      <w:r w:rsidRPr="00566EB0">
        <w:t>Modification History</w:t>
      </w:r>
    </w:p>
    <w:p w:rsidR="00000000" w:rsidRPr="00566EB0" w:rsidP="00566EB0">
      <w:pPr>
        <w:pStyle w:val="BodyText"/>
      </w:pPr>
      <w:r w:rsidRPr="00566EB0">
        <w:t>Release 1. Supersedes and is equivalent to MSL974009A Undertake field-based, remote-sensing monitoring</w:t>
      </w:r>
    </w:p>
    <w:p w:rsidR="00000000" w:rsidRPr="00566EB0" w:rsidP="00566EB0">
      <w:pPr>
        <w:pStyle w:val="AllowPageBreak"/>
      </w:pPr>
    </w:p>
    <w:p w:rsidR="00000000" w:rsidRPr="00566EB0" w:rsidP="00566EB0">
      <w:pPr>
        <w:pStyle w:val="Heading1"/>
      </w:pPr>
      <w:bookmarkStart w:id="2" w:name="O_899553"/>
      <w:bookmarkEnd w:id="2"/>
      <w:r w:rsidRPr="00566EB0">
        <w:t>Application</w:t>
      </w:r>
    </w:p>
    <w:p w:rsidR="00000000" w:rsidRPr="00566EB0" w:rsidP="00566EB0">
      <w:pPr>
        <w:pStyle w:val="BodyText"/>
      </w:pPr>
      <w:r w:rsidRPr="00566EB0">
        <w:t>This unit of competency covers the ability to organise and undertake defined field-base</w:t>
      </w:r>
      <w:r w:rsidRPr="00566EB0">
        <w:t>d, remote-sensing monitoring activities. These may include assembling, setting up and checking appropriate monitoring equipment on-site, sampling, data collection and storage, equipment and system maintenance, and associated field testing and laboratory an</w:t>
      </w:r>
      <w:r w:rsidRPr="00566EB0">
        <w:t>alysis. This unit of competency does not cover developing specific monitoring protocols or detailed design and/or construction of instruments, buildings, structures associated with the remote-sensing monitoring activities.</w:t>
      </w:r>
    </w:p>
    <w:p w:rsidR="00000000" w:rsidRPr="00566EB0" w:rsidP="00566EB0">
      <w:pPr>
        <w:pStyle w:val="BodyText"/>
      </w:pPr>
    </w:p>
    <w:p w:rsidR="00000000" w:rsidRPr="00566EB0" w:rsidP="00566EB0">
      <w:pPr>
        <w:pStyle w:val="BodyText"/>
      </w:pPr>
      <w:r w:rsidRPr="00566EB0">
        <w:t>This unit of competency is appli</w:t>
      </w:r>
      <w:r w:rsidRPr="00566EB0">
        <w:t>cable to technical, field and environmental officers working in the environmental services, geotechnical, construction materials testing and mining industry sectors.</w:t>
      </w:r>
    </w:p>
    <w:p w:rsidR="00000000" w:rsidRPr="00566EB0" w:rsidP="00566EB0">
      <w:pPr>
        <w:pStyle w:val="BodyText"/>
      </w:pPr>
    </w:p>
    <w:p w:rsidR="00000000" w:rsidRPr="00566EB0" w:rsidP="00566EB0">
      <w:pPr>
        <w:pStyle w:val="BodyText"/>
      </w:pPr>
      <w:r w:rsidRPr="00566EB0">
        <w:t xml:space="preserve">While no specific licensing or certification requirements apply to this unit at the time </w:t>
      </w:r>
      <w:r w:rsidRPr="00566EB0">
        <w:t>of publication, laboratory operations are governed by relevant legislation, regulations and/or external accreditation requirements. Local requirements should be checked.</w:t>
      </w:r>
    </w:p>
    <w:p w:rsidR="00000000" w:rsidRPr="00566EB0" w:rsidP="00566EB0">
      <w:pPr>
        <w:pStyle w:val="AllowPageBreak"/>
      </w:pPr>
    </w:p>
    <w:p w:rsidR="00000000" w:rsidRPr="00566EB0" w:rsidP="00566EB0">
      <w:pPr>
        <w:pStyle w:val="Heading1"/>
      </w:pPr>
      <w:bookmarkStart w:id="3" w:name="O_899552"/>
      <w:bookmarkEnd w:id="3"/>
      <w:r w:rsidRPr="00566EB0">
        <w:t>Pre-requisite Unit</w:t>
      </w:r>
    </w:p>
    <w:p w:rsidR="00000000" w:rsidRPr="00566EB0" w:rsidP="00566EB0">
      <w:pPr>
        <w:pStyle w:val="BodyText"/>
      </w:pPr>
      <w:r w:rsidRPr="00566EB0">
        <w:t>Nil</w:t>
      </w:r>
    </w:p>
    <w:p w:rsidR="00000000" w:rsidRPr="00566EB0" w:rsidP="00566EB0">
      <w:pPr>
        <w:pStyle w:val="AllowPageBreak"/>
      </w:pPr>
    </w:p>
    <w:p w:rsidR="00000000" w:rsidRPr="00566EB0" w:rsidP="00566EB0">
      <w:pPr>
        <w:pStyle w:val="Heading1"/>
      </w:pPr>
      <w:bookmarkStart w:id="4" w:name="O_899551"/>
      <w:bookmarkEnd w:id="4"/>
      <w:r w:rsidRPr="00566EB0">
        <w:t>Competency Field</w:t>
      </w:r>
    </w:p>
    <w:p w:rsidR="00000000" w:rsidRPr="00566EB0" w:rsidP="00566EB0">
      <w:pPr>
        <w:pStyle w:val="BodyText"/>
      </w:pPr>
      <w:r w:rsidRPr="00566EB0">
        <w:t>Testing</w:t>
      </w:r>
    </w:p>
    <w:p w:rsidR="00000000" w:rsidRPr="00566EB0" w:rsidP="00566EB0">
      <w:pPr>
        <w:pStyle w:val="AllowPageBreak"/>
      </w:pPr>
    </w:p>
    <w:p w:rsidR="00000000" w:rsidRPr="00566EB0" w:rsidP="00566EB0">
      <w:pPr>
        <w:pStyle w:val="Heading1"/>
      </w:pPr>
      <w:bookmarkStart w:id="5" w:name="O_899550"/>
      <w:bookmarkEnd w:id="5"/>
      <w:r w:rsidRPr="00566EB0">
        <w:t>Unit Sector</w:t>
      </w:r>
    </w:p>
    <w:p w:rsidR="00000000" w:rsidRPr="00566EB0" w:rsidP="00566EB0">
      <w:pPr>
        <w:pStyle w:val="Heading1"/>
      </w:pPr>
      <w:bookmarkStart w:id="6" w:name="O_899549"/>
      <w:bookmarkEnd w:id="6"/>
      <w:r w:rsidRPr="00566E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6E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Performance criteria describe the performance needed to demonstrate achievement of the element.</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1</w:t>
            </w:r>
          </w:p>
        </w:tc>
        <w:tc>
          <w:tcPr>
            <w:tcW w:w="1962" w:type="dxa"/>
            <w:vMerge w:val="restart"/>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Confirm monitoring requirements with supervising </w:t>
            </w:r>
            <w:r w:rsidRPr="00566EB0">
              <w:rPr>
                <w:rStyle w:val="SpecialBold"/>
              </w:rPr>
              <w:t>staff</w:t>
            </w: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1.1</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Clarify the purpose, objectives and the preferred site for the remote-sensing activities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1.2</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 xml:space="preserve">Review all emergency and hazard/risk assessments, site </w:t>
            </w:r>
            <w:r w:rsidRPr="00566EB0">
              <w:t>safety and environmental requirements, and dat</w:t>
            </w:r>
            <w:r w:rsidRPr="00566EB0">
              <w:t>a quality procedures for the field activities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1.3</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Clarify details of all field parameters to be monitored and the preferred monitoring and data quality procedures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1.4</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Confirm final data formats will suit stakeholders who receive or use the data</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1.5</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Clarify details of any statutory requirements that apply to the site and associated field activities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1.6</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Review existing remote-sensing monitoring protocols, and siting standards or associated in-house requirements which relate to the field activiti</w:t>
            </w:r>
            <w:r w:rsidRPr="00566EB0">
              <w:t>es</w:t>
            </w:r>
          </w:p>
        </w:tc>
      </w:tr>
      <w:tr w:rsidTr="00566E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6EB0">
            <w:pPr>
              <w:pStyle w:val="BodyText"/>
              <w:rPr>
                <w:lang w:val="en-NZ"/>
              </w:rPr>
            </w:pP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2</w:t>
            </w:r>
          </w:p>
        </w:tc>
        <w:tc>
          <w:tcPr>
            <w:tcW w:w="1962" w:type="dxa"/>
            <w:vMerge w:val="restart"/>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Assemble remote-sensing field monitoring system</w:t>
            </w: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2.1</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Identify required instruments, equipment and consumables and associated maintenance and replacement procedures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2.2</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 xml:space="preserve">Identify site access, services and security requirements and any site constraints </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2.3</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Complete all administrative requirements and obtain appropriate approvals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2.4</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Confirm required instrument calibration and data storage, handling and transfer systems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2.5</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Field-check site suitability for monitoring activities and define alternative sites as necessary</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2.6</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Assemble remote-sensing monitoring system and check all c</w:t>
            </w:r>
            <w:r w:rsidRPr="00566EB0">
              <w:t>omponents under laboratory conditions</w:t>
            </w:r>
          </w:p>
        </w:tc>
      </w:tr>
      <w:tr w:rsidTr="00566E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6EB0">
            <w:pPr>
              <w:pStyle w:val="BodyText"/>
              <w:rPr>
                <w:lang w:val="en-NZ"/>
              </w:rPr>
            </w:pP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3</w:t>
            </w:r>
          </w:p>
        </w:tc>
        <w:tc>
          <w:tcPr>
            <w:tcW w:w="1962" w:type="dxa"/>
            <w:vMerge w:val="restart"/>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Organise and establish the remote-sensing monitoring site</w:t>
            </w: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3.1</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Identify, and confirm with senior staff, all resources required for operation of monitoring system in the field</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3.2</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Confirm that all safety, emergency and risk assessment requirements and data quality procedures have been correctly applied to the field activities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3.3</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Ensure correct packaging and transportation of equipment and instruments to defined field site</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3.4</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Establish remote monitoring station</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3.5</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Test operation of total system under field conditions</w:t>
            </w:r>
          </w:p>
        </w:tc>
      </w:tr>
      <w:tr w:rsidTr="00566E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6EB0">
            <w:pPr>
              <w:pStyle w:val="BodyText"/>
              <w:rPr>
                <w:lang w:val="en-NZ"/>
              </w:rPr>
            </w:pP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4</w:t>
            </w:r>
          </w:p>
        </w:tc>
        <w:tc>
          <w:tcPr>
            <w:tcW w:w="1962" w:type="dxa"/>
            <w:vMerge w:val="restart"/>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Operate and maintain monitoring site</w:t>
            </w: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4.1</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Undertake regular or emergency inspections of the site according to set procedures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4.2</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Undertake calibration checks according to written instructions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4.3</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Inspect and maintain all instruments, equipment and data systems and organise replacement of defective items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4.4</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Perform all field and laboratory activities safely and with minimal impact on the environment</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4.5</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Document all site visits and associated actions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4.6</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 xml:space="preserve">Review the total monitoring activity on a regular basis and implement any required modifications or </w:t>
            </w:r>
            <w:r w:rsidRPr="00566EB0">
              <w:t>improvements</w:t>
            </w:r>
          </w:p>
        </w:tc>
      </w:tr>
      <w:tr w:rsidTr="00566EB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66EB0">
            <w:pPr>
              <w:pStyle w:val="BodyText"/>
              <w:rPr>
                <w:lang w:val="en-NZ"/>
              </w:rPr>
            </w:pP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5</w:t>
            </w:r>
          </w:p>
        </w:tc>
        <w:tc>
          <w:tcPr>
            <w:tcW w:w="1962" w:type="dxa"/>
            <w:vMerge w:val="restart"/>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Close down field monitoring activities</w:t>
            </w: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5.1</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Confirm decision to close down site and finalise all data requirements with supervising staff</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5.2</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Dismantle monitoring system and arrange checking, packaging and transportation of all equipment and instruments back to base</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5.3</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Close down site in accordance with workplace and environmental requirements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5.4</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Hand back site and inform all relevant authorities</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5.5</w:t>
            </w:r>
          </w:p>
        </w:tc>
        <w:tc>
          <w:tcPr>
            <w:tcW w:w="561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Test, decontaminate, if required, and store all equipment appropriately</w:t>
            </w:r>
          </w:p>
        </w:tc>
      </w:tr>
      <w:tr w:rsidTr="00566EB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5.6</w:t>
            </w:r>
          </w:p>
        </w:tc>
        <w:tc>
          <w:tcPr>
            <w:tcW w:w="5610" w:type="dxa"/>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Document all close-down actions</w:t>
            </w:r>
          </w:p>
        </w:tc>
      </w:tr>
    </w:tbl>
    <w:p w:rsidR="00000000" w:rsidRPr="00566EB0" w:rsidP="00566EB0">
      <w:pPr>
        <w:pStyle w:val="BodyText"/>
      </w:pPr>
    </w:p>
    <w:p w:rsidR="00000000" w:rsidRPr="00566EB0" w:rsidP="00566EB0">
      <w:pPr>
        <w:pStyle w:val="AllowPageBreak"/>
      </w:pPr>
    </w:p>
    <w:p w:rsidR="00000000" w:rsidRPr="00566EB0" w:rsidP="00566EB0">
      <w:pPr>
        <w:pStyle w:val="Heading1"/>
      </w:pPr>
      <w:bookmarkStart w:id="7" w:name="O_899548"/>
      <w:bookmarkEnd w:id="7"/>
      <w:r w:rsidRPr="00566EB0">
        <w:t>Foundation Skills</w:t>
      </w:r>
    </w:p>
    <w:p w:rsidR="00000000" w:rsidRPr="00566EB0" w:rsidP="00566EB0">
      <w:pPr>
        <w:pStyle w:val="BodyText"/>
      </w:pPr>
      <w:r w:rsidRPr="00566EB0">
        <w:t>This section describes those language, literacy, numeracy and employment skills that are essential to performance.</w:t>
      </w:r>
    </w:p>
    <w:p w:rsidR="00000000" w:rsidRPr="00566EB0" w:rsidP="00566EB0">
      <w:pPr>
        <w:pStyle w:val="BodyText"/>
      </w:pPr>
    </w:p>
    <w:p w:rsidR="00000000" w:rsidRPr="00566EB0" w:rsidP="00566EB0">
      <w:pPr>
        <w:pStyle w:val="BodyText"/>
      </w:pPr>
      <w:r w:rsidRPr="00566EB0">
        <w:t>Foundation skills essential to performance are explicit in the performance criteria of this unit of competency.</w:t>
      </w:r>
    </w:p>
    <w:p w:rsidR="00000000" w:rsidRPr="00566EB0" w:rsidP="00566EB0">
      <w:pPr>
        <w:pStyle w:val="AllowPageBreak"/>
      </w:pPr>
    </w:p>
    <w:p w:rsidR="00000000" w:rsidRPr="00566EB0" w:rsidP="00566EB0">
      <w:pPr>
        <w:pStyle w:val="Heading1"/>
      </w:pPr>
      <w:bookmarkStart w:id="8" w:name="O_899547"/>
      <w:bookmarkEnd w:id="8"/>
      <w:r w:rsidRPr="00566EB0">
        <w:t>Range of Co</w:t>
      </w:r>
      <w:r w:rsidRPr="00566EB0">
        <w:t>nditions</w:t>
      </w:r>
    </w:p>
    <w:tbl>
      <w:tblPr>
        <w:tblW w:w="0" w:type="auto"/>
        <w:tblCellMar>
          <w:left w:w="62" w:type="dxa"/>
          <w:right w:w="62" w:type="dxa"/>
        </w:tblCellMar>
        <w:tblLook w:val="0000"/>
      </w:tblPr>
      <w:tblGrid>
        <w:gridCol w:w="2163"/>
        <w:gridCol w:w="7033"/>
      </w:tblGrid>
      <w:tr w:rsidTr="006C0D2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t>This field allows for different work environments and conditions that may affect performance. Essential operating conditions that may be present (depending on the work situation, needs of the candidate, accessibility of the item, and local industr</w:t>
            </w:r>
            <w:r w:rsidRPr="00566EB0">
              <w:t>y and regional contexts) are included.</w:t>
            </w: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Standards, codes, procedures and/or workplace requirements include the latest version of one or more of:</w:t>
            </w:r>
          </w:p>
          <w:p w:rsidR="00000000" w:rsidRPr="00566EB0" w:rsidP="00566EB0">
            <w:pPr>
              <w:pStyle w:val="ListBullet"/>
            </w:pPr>
            <w:r w:rsidRPr="00566EB0">
              <w:t>Australian and international standards covering t</w:t>
            </w:r>
            <w:r w:rsidRPr="00566EB0">
              <w:t>he requirements for the competence of testing and calibration laboratories, laboratory safety and occupational clothing, quality management, environmental management and transport emergency procedures</w:t>
            </w:r>
          </w:p>
          <w:p w:rsidR="00000000" w:rsidRPr="00566EB0" w:rsidP="00566EB0">
            <w:pPr>
              <w:pStyle w:val="ListBullet"/>
            </w:pPr>
            <w:r w:rsidRPr="00566EB0">
              <w:t>national work health and safety (WHS) standards and codes of practice, national measurement regulations and guidelines, and national environment protection measures</w:t>
            </w:r>
          </w:p>
          <w:p w:rsidR="00000000" w:rsidRPr="00566EB0" w:rsidP="00566EB0">
            <w:pPr>
              <w:pStyle w:val="ListBullet"/>
            </w:pPr>
            <w:r w:rsidRPr="00566EB0">
              <w:t>specific codes, guidelines, procedures and methods, such as the principles of good laborato</w:t>
            </w:r>
            <w:r w:rsidRPr="00566EB0">
              <w:t>ry practice (GLP), Australian Dangerous Goods Code, Australian Radiation Protection and Nuclear Safety Agency (ARPANSA) Codes of Practice; and Government policies, such as sustainable development and impact assessment</w:t>
            </w:r>
          </w:p>
          <w:p w:rsidR="00000000" w:rsidRPr="00566EB0" w:rsidP="00566EB0">
            <w:pPr>
              <w:pStyle w:val="ListBullet"/>
            </w:pPr>
            <w:r w:rsidRPr="00566EB0">
              <w:t xml:space="preserve">workplace documents, such as standard </w:t>
            </w:r>
            <w:r w:rsidRPr="00566EB0">
              <w:t>operating procedures (SOPs); quality and equipment manuals; instrument fault-finding procedures; calibration and maintenance schedules; material safety data sheets (MSDS) and safety procedures; incident/accident/injury report forms; laboratory schedules; w</w:t>
            </w:r>
            <w:r w:rsidRPr="00566EB0">
              <w:t>orkplace recording and reporting procedures; field protocols, procedures, note books and log books; and waste minimisation and safe disposal procedures</w:t>
            </w:r>
          </w:p>
          <w:p w:rsidR="00000000" w:rsidRPr="00566EB0" w:rsidP="00566EB0">
            <w:pPr>
              <w:pStyle w:val="ListBullet"/>
            </w:pPr>
            <w:r w:rsidRPr="00566EB0">
              <w:t>standard methods for sampling, remote-sensing/monitoring protocols, data quality procedures and site-spe</w:t>
            </w:r>
            <w:r w:rsidRPr="00566EB0">
              <w:t>cific requirements</w:t>
            </w:r>
          </w:p>
          <w:p w:rsidR="00000000" w:rsidP="00566EB0">
            <w:pPr>
              <w:pStyle w:val="BodyTex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Remote-sensing monitoring activities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Remote-sensing monitoring activities include, but are not limited to, one or more of:</w:t>
            </w:r>
          </w:p>
          <w:p w:rsidR="00000000" w:rsidRPr="00566EB0" w:rsidP="00566EB0">
            <w:pPr>
              <w:pStyle w:val="ListBullet"/>
            </w:pPr>
            <w:r w:rsidRPr="00566EB0">
              <w:t>meteorology (e.g. temperature, humidity and wind)</w:t>
            </w:r>
          </w:p>
          <w:p w:rsidR="00000000" w:rsidRPr="00566EB0" w:rsidP="00566EB0">
            <w:pPr>
              <w:pStyle w:val="ListBullet"/>
            </w:pPr>
            <w:r w:rsidRPr="00566EB0">
              <w:t>geology/mining (e.g. movement of structures, vibration and b</w:t>
            </w:r>
            <w:r w:rsidRPr="00566EB0">
              <w:t xml:space="preserve">last shock waves) </w:t>
            </w:r>
          </w:p>
          <w:p w:rsidR="00000000" w:rsidRPr="00566EB0" w:rsidP="00566EB0">
            <w:pPr>
              <w:pStyle w:val="ListBullet"/>
            </w:pPr>
            <w:r w:rsidRPr="00566EB0">
              <w:t>hydrology (e.g. water flow and water depth in catchment)</w:t>
            </w:r>
          </w:p>
          <w:p w:rsidR="00000000" w:rsidRPr="00566EB0" w:rsidP="00566EB0">
            <w:pPr>
              <w:pStyle w:val="ListBullet"/>
            </w:pPr>
            <w:r w:rsidRPr="00566EB0">
              <w:t>environmental (e.g. air quality, water quality and noise)</w:t>
            </w:r>
          </w:p>
          <w:p w:rsidR="00000000" w:rsidRPr="00566EB0" w:rsidP="00566EB0">
            <w:pPr>
              <w:pStyle w:val="ListBullet"/>
            </w:pPr>
            <w:r w:rsidRPr="00566EB0">
              <w:t>civil engineering (e.g. temperature, displacement and/or hydrostatic pressure on structures and movement of ions in struct</w:t>
            </w:r>
            <w:r w:rsidRPr="00566EB0">
              <w:t>ures)</w:t>
            </w:r>
          </w:p>
          <w:p w:rsidR="00000000" w:rsidP="00566EB0">
            <w:pPr>
              <w:pStyle w:val="BodyTex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Instruments and equipment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Instruments and equipment include, but are not limited to, one or more of:</w:t>
            </w:r>
          </w:p>
          <w:p w:rsidR="00000000" w:rsidRPr="00566EB0" w:rsidP="00566EB0">
            <w:pPr>
              <w:pStyle w:val="ListBullet"/>
            </w:pPr>
            <w:r w:rsidRPr="00566EB0">
              <w:t>navigation and communication equipment, such as compass, maps, global positioning system (GPS), two-way radio and mobile phone</w:t>
            </w:r>
          </w:p>
          <w:p w:rsidR="00000000" w:rsidRPr="00566EB0" w:rsidP="00566EB0">
            <w:pPr>
              <w:pStyle w:val="ListBullet"/>
            </w:pPr>
            <w:r w:rsidRPr="00566EB0">
              <w:t>sampling and autosampling equipment for air, water, stormwater, wastewater and sewage</w:t>
            </w:r>
          </w:p>
          <w:p w:rsidR="00000000" w:rsidRPr="00566EB0" w:rsidP="00566EB0">
            <w:pPr>
              <w:pStyle w:val="ListBullet"/>
            </w:pPr>
            <w:r w:rsidRPr="00566EB0">
              <w:t>instruments that measure air pollutants, such as oxides of carbon, oxides of sulphur, oxides of nitrogen, hydrocarbons and particulates (PM10, PM2.5 total suspended), and</w:t>
            </w:r>
            <w:r w:rsidRPr="00566EB0">
              <w:t xml:space="preserve"> ozone</w:t>
            </w:r>
          </w:p>
          <w:p w:rsidR="00000000" w:rsidRPr="00566EB0" w:rsidP="00566EB0">
            <w:pPr>
              <w:pStyle w:val="ListBullet"/>
            </w:pPr>
            <w:r w:rsidRPr="00566EB0">
              <w:t>instruments that measure water quantity and/or hydrological parameters, such as flow, dissolved oxygen (DO), electrical conductivity, pH, turbidity, nitrates, phosphates and temperature</w:t>
            </w:r>
          </w:p>
          <w:p w:rsidR="00000000" w:rsidRPr="00566EB0" w:rsidP="00566EB0">
            <w:pPr>
              <w:pStyle w:val="ListBullet"/>
            </w:pPr>
            <w:r w:rsidRPr="00566EB0">
              <w:t>instruments that measure meteorological parameters, such as pre</w:t>
            </w:r>
            <w:r w:rsidRPr="00566EB0">
              <w:t>ssure, minimum and maximum temperature, wet and dry bulb temperatures, humidity, rainfall, and wind speed and direction</w:t>
            </w:r>
          </w:p>
          <w:p w:rsidR="00000000" w:rsidRPr="00566EB0" w:rsidP="00566EB0">
            <w:pPr>
              <w:pStyle w:val="ListBullet"/>
            </w:pPr>
            <w:r w:rsidRPr="00566EB0">
              <w:t>instruments that measure sound pressure levels, such as noise or sound pressure meter</w:t>
            </w:r>
          </w:p>
          <w:p w:rsidR="00000000" w:rsidRPr="00566EB0" w:rsidP="00566EB0">
            <w:pPr>
              <w:pStyle w:val="ListBullet"/>
            </w:pPr>
            <w:r w:rsidRPr="00566EB0">
              <w:t>instruments that measure displacement or durabilit</w:t>
            </w:r>
            <w:r w:rsidRPr="00566EB0">
              <w:t>y of civil engineering structures and consolidation, such as load cells, inclinometers, pieziometers, strain gauges and accelerometers</w:t>
            </w:r>
          </w:p>
          <w:p w:rsidR="00000000" w:rsidP="00566EB0">
            <w:pPr>
              <w:pStyle w:val="BodyTex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Communication and consultation strategies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 xml:space="preserve">Communication and consultation strategies include: </w:t>
            </w:r>
          </w:p>
          <w:p w:rsidR="00000000" w:rsidRPr="00566EB0" w:rsidP="00566EB0">
            <w:pPr>
              <w:pStyle w:val="ListBullet"/>
            </w:pPr>
            <w:r w:rsidRPr="00566EB0">
              <w:t>face-to-face and/or tel</w:t>
            </w:r>
            <w:r w:rsidRPr="00566EB0">
              <w:t>ephone conversations</w:t>
            </w:r>
          </w:p>
          <w:p w:rsidR="00000000" w:rsidRPr="00566EB0" w:rsidP="00566EB0">
            <w:pPr>
              <w:pStyle w:val="ListBullet"/>
            </w:pPr>
            <w:r w:rsidRPr="00566EB0">
              <w:t>meetings and written documents</w:t>
            </w:r>
          </w:p>
          <w:p w:rsidR="00000000" w:rsidP="00566EB0">
            <w:pPr>
              <w:pStyle w:val="ListBulle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Purpose of field monitoring activities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Purposes of field monitoring activities include, but are not limited to, one or more of:</w:t>
            </w:r>
          </w:p>
          <w:p w:rsidR="00000000" w:rsidRPr="00566EB0" w:rsidP="00566EB0">
            <w:pPr>
              <w:pStyle w:val="ListBullet"/>
            </w:pPr>
            <w:r w:rsidRPr="00566EB0">
              <w:t>single or multiple site monitoring</w:t>
            </w:r>
          </w:p>
          <w:p w:rsidR="00000000" w:rsidRPr="00566EB0" w:rsidP="00566EB0">
            <w:pPr>
              <w:pStyle w:val="ListBullet"/>
            </w:pPr>
            <w:r w:rsidRPr="00566EB0">
              <w:t>component of workplace environmental management plan</w:t>
            </w:r>
          </w:p>
          <w:p w:rsidR="00000000" w:rsidRPr="00566EB0" w:rsidP="00566EB0">
            <w:pPr>
              <w:pStyle w:val="ListBullet"/>
            </w:pPr>
            <w:r w:rsidRPr="00566EB0">
              <w:t>remote-sensing monitoring of physical/chemical and mechanical/geotechnical parameters</w:t>
            </w:r>
          </w:p>
          <w:p w:rsidR="00000000" w:rsidRPr="00566EB0" w:rsidP="00566EB0">
            <w:pPr>
              <w:pStyle w:val="ListBullet"/>
            </w:pPr>
            <w:r w:rsidRPr="00566EB0">
              <w:t>monitoring of consolidation of soils and foundations</w:t>
            </w:r>
          </w:p>
          <w:p w:rsidR="00000000" w:rsidRPr="00566EB0" w:rsidP="00566EB0">
            <w:pPr>
              <w:pStyle w:val="ListBullet"/>
            </w:pPr>
            <w:r w:rsidRPr="00566EB0">
              <w:t>monitoring the durability of structures (e.g. roads)</w:t>
            </w:r>
          </w:p>
          <w:p w:rsidR="00000000" w:rsidRPr="00566EB0" w:rsidP="00566EB0">
            <w:pPr>
              <w:pStyle w:val="ListBullet"/>
            </w:pPr>
            <w:r w:rsidRPr="00566EB0">
              <w:t>requirement</w:t>
            </w:r>
            <w:r w:rsidRPr="00566EB0">
              <w:t xml:space="preserve"> to comply with statutory requirements</w:t>
            </w:r>
          </w:p>
          <w:p w:rsidR="00000000" w:rsidRPr="00566EB0" w:rsidP="00566EB0">
            <w:pPr>
              <w:pStyle w:val="ListBullet"/>
            </w:pPr>
            <w:r w:rsidRPr="00566EB0">
              <w:t xml:space="preserve">requirement to comply with industry sampling/monitoring protocols/codes of </w:t>
            </w:r>
            <w:r w:rsidRPr="00566EB0">
              <w:t>practice</w:t>
            </w:r>
          </w:p>
          <w:p w:rsidR="00000000" w:rsidP="00566EB0">
            <w:pPr>
              <w:pStyle w:val="BodyTex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Administrative requirements and appropriate approvals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Administrative requirements and appropriate approvals include, but are not l</w:t>
            </w:r>
            <w:r w:rsidRPr="00566EB0">
              <w:t xml:space="preserve">imited to, one or more of: </w:t>
            </w:r>
          </w:p>
          <w:p w:rsidR="00000000" w:rsidRPr="00566EB0" w:rsidP="00566EB0">
            <w:pPr>
              <w:pStyle w:val="ListBullet"/>
            </w:pPr>
            <w:r w:rsidRPr="00566EB0">
              <w:t>travel requisitions</w:t>
            </w:r>
          </w:p>
          <w:p w:rsidR="00000000" w:rsidRPr="00566EB0" w:rsidP="00566EB0">
            <w:pPr>
              <w:pStyle w:val="ListBullet"/>
            </w:pPr>
            <w:r w:rsidRPr="00566EB0">
              <w:t>authority for use of vehicles and equipment</w:t>
            </w:r>
          </w:p>
          <w:p w:rsidR="00000000" w:rsidRPr="00566EB0" w:rsidP="00566EB0">
            <w:pPr>
              <w:pStyle w:val="ListBullet"/>
            </w:pPr>
            <w:r w:rsidRPr="00566EB0">
              <w:t xml:space="preserve">permits </w:t>
            </w:r>
          </w:p>
          <w:p w:rsidR="00000000" w:rsidRPr="00566EB0" w:rsidP="00566EB0">
            <w:pPr>
              <w:pStyle w:val="ListBullet"/>
            </w:pPr>
            <w:r w:rsidRPr="00566EB0">
              <w:t>insurance</w:t>
            </w:r>
          </w:p>
          <w:p w:rsidR="00000000" w:rsidP="00566EB0">
            <w:pPr>
              <w:pStyle w:val="BodyTex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Site safety and environmental requirements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Site safety and environmental requirements include, but are not limited to, one or more of:</w:t>
            </w:r>
          </w:p>
          <w:p w:rsidR="00000000" w:rsidRPr="00566EB0" w:rsidP="00566EB0">
            <w:pPr>
              <w:pStyle w:val="ListBullet"/>
            </w:pPr>
            <w:r w:rsidRPr="00566EB0">
              <w:t>use of personal protective equipment (PPE), such as sunscreen, hats, safety glasses, gloves, coveralls and safety boots</w:t>
            </w:r>
          </w:p>
          <w:p w:rsidR="00000000" w:rsidRPr="00566EB0" w:rsidP="00566EB0">
            <w:pPr>
              <w:pStyle w:val="ListBullet"/>
            </w:pPr>
            <w:r w:rsidRPr="00566EB0">
              <w:t>'stay with vehicle' and other survival techniques</w:t>
            </w:r>
          </w:p>
          <w:p w:rsidR="00000000" w:rsidRPr="00566EB0" w:rsidP="00566EB0">
            <w:pPr>
              <w:pStyle w:val="ListBullet"/>
            </w:pPr>
            <w:r w:rsidRPr="00566EB0">
              <w:t>following a regular communication schedule</w:t>
            </w:r>
          </w:p>
          <w:p w:rsidR="00000000" w:rsidRPr="00566EB0" w:rsidP="00566EB0">
            <w:pPr>
              <w:pStyle w:val="ListBullet"/>
            </w:pPr>
            <w:r w:rsidRPr="00566EB0">
              <w:t>using GPS, maps and aerial photos</w:t>
            </w:r>
          </w:p>
          <w:p w:rsidR="00000000" w:rsidRPr="00566EB0" w:rsidP="00566EB0">
            <w:pPr>
              <w:pStyle w:val="ListBullet"/>
            </w:pPr>
            <w:r w:rsidRPr="00566EB0">
              <w:t>handling,</w:t>
            </w:r>
            <w:r w:rsidRPr="00566EB0">
              <w:t xml:space="preserve"> storing and disposing of all hazardous materials/waste in accordance with MSDS, labels, workplace procedures, codes and regulations</w:t>
            </w:r>
          </w:p>
          <w:p w:rsidR="00000000" w:rsidRPr="00566EB0" w:rsidP="00566EB0">
            <w:pPr>
              <w:pStyle w:val="ListBullet"/>
            </w:pPr>
            <w:r w:rsidRPr="00566EB0">
              <w:t>regular cleaning of vehicles and equipment to prevent transfer of pests and contaminants</w:t>
            </w:r>
          </w:p>
          <w:p w:rsidR="00000000" w:rsidRPr="00566EB0" w:rsidP="00566EB0">
            <w:pPr>
              <w:pStyle w:val="ListBullet"/>
            </w:pPr>
            <w:r w:rsidRPr="00566EB0">
              <w:t xml:space="preserve">driving vehicles to minimise soil </w:t>
            </w:r>
            <w:r w:rsidRPr="00566EB0">
              <w:t>erosion and damage to fauna and vegetation</w:t>
            </w:r>
          </w:p>
          <w:p w:rsidR="00000000" w:rsidP="00566EB0">
            <w:pPr>
              <w:pStyle w:val="BodyText"/>
              <w:rPr>
                <w:lang w:val="en-NZ"/>
              </w:rPr>
            </w:pPr>
          </w:p>
        </w:tc>
      </w:tr>
      <w:tr w:rsidTr="006C0D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6EB0">
            <w:pPr>
              <w:pStyle w:val="BodyText"/>
              <w:rPr>
                <w:lang w:val="en-NZ"/>
              </w:rPr>
            </w:pPr>
            <w:r w:rsidRPr="00566EB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66EB0" w:rsidP="00566EB0">
            <w:pPr>
              <w:pStyle w:val="BodyText"/>
            </w:pPr>
            <w:r w:rsidRPr="00566EB0">
              <w:t>WHS and environmental management requirements include:</w:t>
            </w:r>
          </w:p>
          <w:p w:rsidR="00000000" w:rsidRPr="00566EB0" w:rsidP="00566EB0">
            <w:pPr>
              <w:pStyle w:val="BodyText"/>
            </w:pPr>
            <w:r w:rsidRPr="00566EB0">
              <w:rPr>
                <w:rStyle w:val="Symbols"/>
              </w:rPr>
              <w:t></w:t>
            </w:r>
            <w:r w:rsidRPr="00566EB0">
              <w:rPr>
                <w:rStyle w:val="Symbols"/>
              </w:rPr>
              <w:tab/>
            </w:r>
            <w:r w:rsidRPr="00566EB0">
              <w:t>complying with WHS and environmental management requirements at all times, which may be imposed through state/territory or federal legislation. These requirements must not be compromised at any time</w:t>
            </w:r>
          </w:p>
          <w:p w:rsidR="00000000" w:rsidRPr="00566EB0" w:rsidP="00566EB0">
            <w:pPr>
              <w:pStyle w:val="BodyText"/>
            </w:pPr>
            <w:r w:rsidRPr="00566EB0">
              <w:rPr>
                <w:rStyle w:val="Symbols"/>
              </w:rPr>
              <w:t></w:t>
            </w:r>
            <w:r w:rsidRPr="00566EB0">
              <w:rPr>
                <w:rStyle w:val="Symbols"/>
              </w:rPr>
              <w:tab/>
            </w:r>
            <w:r w:rsidRPr="00566EB0">
              <w:t>applying standard precautions relating to the potential</w:t>
            </w:r>
            <w:r w:rsidRPr="00566EB0">
              <w:t>ly hazardous nature of samples</w:t>
            </w:r>
          </w:p>
        </w:tc>
      </w:tr>
    </w:tbl>
    <w:p w:rsidR="00000000" w:rsidRPr="00566EB0" w:rsidP="00566EB0">
      <w:pPr>
        <w:pStyle w:val="BodyText"/>
      </w:pPr>
    </w:p>
    <w:p w:rsidR="00000000" w:rsidRPr="00566EB0" w:rsidP="00566EB0">
      <w:pPr>
        <w:pStyle w:val="AllowPageBreak"/>
      </w:pPr>
    </w:p>
    <w:p w:rsidR="00000000" w:rsidRPr="00566EB0" w:rsidP="00566EB0">
      <w:pPr>
        <w:pStyle w:val="Heading1"/>
      </w:pPr>
      <w:bookmarkStart w:id="9" w:name="O_899546"/>
      <w:bookmarkEnd w:id="9"/>
      <w:r w:rsidRPr="00566EB0">
        <w:t>Unit Mapping Information</w:t>
      </w:r>
    </w:p>
    <w:p w:rsidR="00000000" w:rsidRPr="00566EB0" w:rsidP="00566EB0">
      <w:pPr>
        <w:pStyle w:val="BodyText"/>
      </w:pPr>
      <w:r w:rsidRPr="00566EB0">
        <w:t>Release 1. Supersedes and is equivalent to MSL974009A Undertake field-based, remote-sensing monitoring</w:t>
      </w:r>
    </w:p>
    <w:p w:rsidR="00000000" w:rsidRPr="00566EB0" w:rsidP="00566EB0">
      <w:pPr>
        <w:pStyle w:val="AllowPageBreak"/>
      </w:pPr>
    </w:p>
    <w:p w:rsidR="00000000" w:rsidRPr="00566EB0" w:rsidP="00566EB0">
      <w:pPr>
        <w:pStyle w:val="Heading1"/>
      </w:pPr>
      <w:bookmarkStart w:id="10" w:name="O_899539"/>
      <w:bookmarkEnd w:id="10"/>
      <w:r w:rsidRPr="00566EB0">
        <w:t>Links</w:t>
      </w:r>
    </w:p>
    <w:p w:rsidR="00000000" w:rsidRPr="00566EB0" w:rsidP="00566EB0">
      <w:pPr>
        <w:pStyle w:val="BodyText"/>
      </w:pPr>
      <w:r w:rsidRPr="00566EB0">
        <w:t>MSA Training Package Implementation Guides - http://mskills.org.au/training-packages/info/</w:t>
      </w:r>
    </w:p>
    <w:p w:rsidR="00000000" w:rsidRPr="00566EB0" w:rsidP="00566EB0"/>
    <w:sectPr w:rsidSect="00566E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0" w:rsidRPr="006C0D2F" w:rsidP="006C0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2F" w:rsidP="00566E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0D2F" w:rsidP="00566EB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0D2F" w:rsidP="00566E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0" w:rsidRPr="006C0D2F" w:rsidP="006C0D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E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D2F" w:rsidRPr="002D2AF8" w:rsidP="00566EB0">
    <w:pPr>
      <w:pStyle w:val="Header"/>
      <w:framePr w:wrap="around"/>
    </w:pPr>
    <w:r>
      <w:fldChar w:fldCharType="begin"/>
    </w:r>
    <w:r>
      <w:instrText xml:space="preserve"> TITLE   \* MERGEFORMAT </w:instrText>
    </w:r>
    <w:r>
      <w:fldChar w:fldCharType="separate"/>
    </w:r>
    <w:r>
      <w:t>MSL974009 Undertake field-based, remote-sensing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C0D2F" w:rsidP="00566E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704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CC29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E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EB0"/>
    <w:pPr>
      <w:spacing w:before="360" w:after="60"/>
      <w:outlineLvl w:val="0"/>
    </w:pPr>
    <w:rPr>
      <w:sz w:val="32"/>
    </w:rPr>
  </w:style>
  <w:style w:type="paragraph" w:styleId="Heading2">
    <w:name w:val="heading 2"/>
    <w:basedOn w:val="HeadingBase"/>
    <w:next w:val="BodyText"/>
    <w:link w:val="Heading2Char"/>
    <w:qFormat/>
    <w:rsid w:val="00566EB0"/>
    <w:pPr>
      <w:keepLines/>
      <w:spacing w:before="240" w:after="120"/>
      <w:outlineLvl w:val="1"/>
    </w:pPr>
    <w:rPr>
      <w:sz w:val="28"/>
      <w:szCs w:val="40"/>
    </w:rPr>
  </w:style>
  <w:style w:type="paragraph" w:styleId="Heading3">
    <w:name w:val="heading 3"/>
    <w:basedOn w:val="HeadingBase"/>
    <w:next w:val="BodyText"/>
    <w:link w:val="Heading3Char"/>
    <w:qFormat/>
    <w:rsid w:val="00566EB0"/>
    <w:pPr>
      <w:spacing w:before="180" w:after="120"/>
      <w:outlineLvl w:val="2"/>
    </w:pPr>
    <w:rPr>
      <w:spacing w:val="-10"/>
      <w:kern w:val="32"/>
    </w:rPr>
  </w:style>
  <w:style w:type="paragraph" w:styleId="Heading4">
    <w:name w:val="heading 4"/>
    <w:basedOn w:val="HeadingBase"/>
    <w:next w:val="BodyText"/>
    <w:link w:val="Heading4Char"/>
    <w:qFormat/>
    <w:rsid w:val="00566EB0"/>
    <w:pPr>
      <w:spacing w:before="160" w:after="120"/>
      <w:outlineLvl w:val="3"/>
    </w:pPr>
    <w:rPr>
      <w:sz w:val="22"/>
    </w:rPr>
  </w:style>
  <w:style w:type="paragraph" w:styleId="Heading5">
    <w:name w:val="heading 5"/>
    <w:basedOn w:val="HeadingBase"/>
    <w:next w:val="Normal"/>
    <w:link w:val="Heading5Char"/>
    <w:qFormat/>
    <w:rsid w:val="00566EB0"/>
    <w:pPr>
      <w:spacing w:before="80"/>
      <w:outlineLvl w:val="4"/>
    </w:pPr>
    <w:rPr>
      <w:color w:val="918585"/>
      <w:sz w:val="20"/>
    </w:rPr>
  </w:style>
  <w:style w:type="paragraph" w:styleId="Heading6">
    <w:name w:val="heading 6"/>
    <w:basedOn w:val="HeadingBase"/>
    <w:next w:val="Normal"/>
    <w:link w:val="Heading6Char"/>
    <w:qFormat/>
    <w:rsid w:val="00566EB0"/>
    <w:pPr>
      <w:spacing w:before="60"/>
      <w:outlineLvl w:val="5"/>
    </w:pPr>
    <w:rPr>
      <w:color w:val="918585"/>
      <w:sz w:val="20"/>
    </w:rPr>
  </w:style>
  <w:style w:type="paragraph" w:styleId="Heading7">
    <w:name w:val="heading 7"/>
    <w:basedOn w:val="Normal"/>
    <w:next w:val="Normal"/>
    <w:link w:val="Heading7Char"/>
    <w:qFormat/>
    <w:rsid w:val="00566EB0"/>
    <w:pPr>
      <w:ind w:left="720"/>
      <w:outlineLvl w:val="6"/>
    </w:pPr>
    <w:rPr>
      <w:i/>
    </w:rPr>
  </w:style>
  <w:style w:type="paragraph" w:styleId="Heading8">
    <w:name w:val="heading 8"/>
    <w:basedOn w:val="Normal"/>
    <w:next w:val="Normal"/>
    <w:link w:val="Heading8Char"/>
    <w:qFormat/>
    <w:rsid w:val="00566EB0"/>
    <w:pPr>
      <w:ind w:left="720"/>
      <w:outlineLvl w:val="7"/>
    </w:pPr>
    <w:rPr>
      <w:i/>
    </w:rPr>
  </w:style>
  <w:style w:type="paragraph" w:styleId="Heading9">
    <w:name w:val="heading 9"/>
    <w:basedOn w:val="Normal"/>
    <w:next w:val="Normal"/>
    <w:link w:val="Heading9Char"/>
    <w:qFormat/>
    <w:rsid w:val="00566EB0"/>
    <w:pPr>
      <w:ind w:left="720"/>
      <w:outlineLvl w:val="8"/>
    </w:pPr>
    <w:rPr>
      <w:i/>
    </w:rPr>
  </w:style>
  <w:style w:type="character" w:default="1" w:styleId="DefaultParagraphFont">
    <w:name w:val="Default Paragraph Font"/>
    <w:uiPriority w:val="1"/>
    <w:unhideWhenUsed/>
    <w:rsid w:val="00566E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EB0"/>
  </w:style>
  <w:style w:type="character" w:customStyle="1" w:styleId="Heading1Char">
    <w:name w:val="Heading 1 Char"/>
    <w:basedOn w:val="DefaultParagraphFont"/>
    <w:link w:val="Heading1"/>
    <w:rsid w:val="00566EB0"/>
    <w:rPr>
      <w:rFonts w:ascii="Times New Roman" w:eastAsia="Times New Roman" w:hAnsi="Times New Roman" w:cs="Times New Roman"/>
      <w:b/>
      <w:sz w:val="32"/>
      <w:szCs w:val="20"/>
      <w:lang w:eastAsia="en-US"/>
    </w:rPr>
  </w:style>
  <w:style w:type="paragraph" w:styleId="BodyText">
    <w:name w:val="Body Text"/>
    <w:basedOn w:val="Normal"/>
    <w:link w:val="BodyTextChar"/>
    <w:rsid w:val="00566E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6EB0"/>
    <w:rPr>
      <w:rFonts w:ascii="Times New Roman" w:eastAsia="Times New Roman" w:hAnsi="Times New Roman" w:cs="Times New Roman"/>
      <w:sz w:val="24"/>
      <w:lang w:eastAsia="en-US"/>
    </w:rPr>
  </w:style>
  <w:style w:type="paragraph" w:styleId="ListBullet">
    <w:name w:val="List Bullet"/>
    <w:basedOn w:val="List"/>
    <w:rsid w:val="00566EB0"/>
    <w:pPr>
      <w:numPr>
        <w:numId w:val="12"/>
      </w:numPr>
      <w:tabs>
        <w:tab w:val="clear" w:pos="340"/>
      </w:tabs>
      <w:spacing w:before="40" w:after="40"/>
    </w:pPr>
  </w:style>
  <w:style w:type="character" w:customStyle="1" w:styleId="SpecialBold">
    <w:name w:val="Special Bold"/>
    <w:basedOn w:val="DefaultParagraphFont"/>
    <w:rsid w:val="00566EB0"/>
    <w:rPr>
      <w:b/>
      <w:spacing w:val="0"/>
    </w:rPr>
  </w:style>
  <w:style w:type="paragraph" w:customStyle="1" w:styleId="SuperHeading">
    <w:name w:val="SuperHeading"/>
    <w:basedOn w:val="Normal"/>
    <w:rsid w:val="00566EB0"/>
    <w:pPr>
      <w:spacing w:before="240" w:after="120"/>
      <w:outlineLvl w:val="0"/>
    </w:pPr>
    <w:rPr>
      <w:rFonts w:ascii="Times New Roman" w:hAnsi="Times New Roman"/>
      <w:b/>
      <w:sz w:val="32"/>
    </w:rPr>
  </w:style>
  <w:style w:type="paragraph" w:customStyle="1" w:styleId="AllowPageBreak">
    <w:name w:val="AllowPageBreak"/>
    <w:rsid w:val="00566E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66EB0"/>
    <w:rPr>
      <w:rFonts w:ascii="Symbol" w:hAnsi="Symbol"/>
    </w:rPr>
  </w:style>
  <w:style w:type="character" w:customStyle="1" w:styleId="Heading2Char">
    <w:name w:val="Heading 2 Char"/>
    <w:basedOn w:val="DefaultParagraphFont"/>
    <w:link w:val="Heading2"/>
    <w:rsid w:val="00566E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E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E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E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E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E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E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EB0"/>
    <w:rPr>
      <w:rFonts w:ascii="Courier New" w:eastAsia="Times New Roman" w:hAnsi="Courier New" w:cs="Times New Roman"/>
      <w:i/>
      <w:szCs w:val="20"/>
      <w:lang w:eastAsia="en-US"/>
    </w:rPr>
  </w:style>
  <w:style w:type="paragraph" w:customStyle="1" w:styleId="HeadingBase">
    <w:name w:val="Heading Base"/>
    <w:rsid w:val="00566E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EB0"/>
    <w:pPr>
      <w:tabs>
        <w:tab w:val="right" w:leader="dot" w:pos="9072"/>
      </w:tabs>
      <w:ind w:left="567"/>
    </w:pPr>
    <w:rPr>
      <w:szCs w:val="22"/>
    </w:rPr>
  </w:style>
  <w:style w:type="paragraph" w:customStyle="1" w:styleId="TOCBase">
    <w:name w:val="TOC Base"/>
    <w:rsid w:val="00566E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EB0"/>
    <w:pPr>
      <w:tabs>
        <w:tab w:val="right" w:leader="dot" w:pos="9072"/>
      </w:tabs>
      <w:spacing w:before="40" w:after="40"/>
      <w:ind w:left="284"/>
    </w:pPr>
    <w:rPr>
      <w:rFonts w:ascii="Times New Roman" w:hAnsi="Times New Roman"/>
    </w:rPr>
  </w:style>
  <w:style w:type="paragraph" w:styleId="TOC1">
    <w:name w:val="toc 1"/>
    <w:basedOn w:val="TOCBase"/>
    <w:next w:val="Normal"/>
    <w:rsid w:val="00566E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E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EB0"/>
    <w:rPr>
      <w:rFonts w:ascii="Times New Roman" w:eastAsia="Times New Roman" w:hAnsi="Times New Roman" w:cs="Times New Roman"/>
      <w:sz w:val="16"/>
      <w:lang w:eastAsia="en-US"/>
    </w:rPr>
  </w:style>
  <w:style w:type="paragraph" w:styleId="Title">
    <w:name w:val="Title"/>
    <w:basedOn w:val="HeadingBase"/>
    <w:link w:val="TitleChar"/>
    <w:qFormat/>
    <w:rsid w:val="00566EB0"/>
    <w:pPr>
      <w:spacing w:before="5040"/>
      <w:jc w:val="center"/>
    </w:pPr>
    <w:rPr>
      <w:sz w:val="48"/>
      <w:szCs w:val="72"/>
      <w:lang w:val="en-US"/>
    </w:rPr>
  </w:style>
  <w:style w:type="character" w:customStyle="1" w:styleId="TitleChar">
    <w:name w:val="Title Char"/>
    <w:basedOn w:val="DefaultParagraphFont"/>
    <w:link w:val="Title"/>
    <w:rsid w:val="00566E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EB0"/>
    <w:pPr>
      <w:tabs>
        <w:tab w:val="left" w:pos="3600"/>
        <w:tab w:val="left" w:pos="3958"/>
      </w:tabs>
    </w:pPr>
  </w:style>
  <w:style w:type="paragraph" w:styleId="List">
    <w:name w:val="List"/>
    <w:basedOn w:val="BodyText"/>
    <w:next w:val="BodyText"/>
    <w:rsid w:val="00566EB0"/>
    <w:pPr>
      <w:tabs>
        <w:tab w:val="left" w:pos="340"/>
      </w:tabs>
      <w:spacing w:before="60" w:after="60"/>
      <w:ind w:left="340" w:hanging="340"/>
    </w:pPr>
  </w:style>
  <w:style w:type="paragraph" w:customStyle="1" w:styleId="Note">
    <w:name w:val="Note"/>
    <w:basedOn w:val="BodyText"/>
    <w:rsid w:val="00566E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EB0"/>
    <w:pPr>
      <w:framePr w:wrap="auto" w:hAnchor="text" w:y="6049"/>
    </w:pPr>
    <w:rPr>
      <w:color w:val="000000"/>
      <w:sz w:val="40"/>
    </w:rPr>
  </w:style>
  <w:style w:type="paragraph" w:customStyle="1" w:styleId="TOCTitle">
    <w:name w:val="TOCTitle"/>
    <w:basedOn w:val="Heading1"/>
    <w:rsid w:val="00566EB0"/>
    <w:pPr>
      <w:spacing w:after="240"/>
      <w:jc w:val="center"/>
      <w:outlineLvl w:val="9"/>
    </w:pPr>
    <w:rPr>
      <w:caps/>
    </w:rPr>
  </w:style>
  <w:style w:type="paragraph" w:customStyle="1" w:styleId="Version">
    <w:name w:val="Version"/>
    <w:rsid w:val="00566E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EB0"/>
    <w:pPr>
      <w:numPr>
        <w:numId w:val="13"/>
      </w:numPr>
      <w:tabs>
        <w:tab w:val="clear" w:pos="680"/>
      </w:tabs>
    </w:pPr>
  </w:style>
  <w:style w:type="paragraph" w:styleId="Index1">
    <w:name w:val="index 1"/>
    <w:basedOn w:val="Normal"/>
    <w:next w:val="Normal"/>
    <w:semiHidden/>
    <w:rsid w:val="00566EB0"/>
    <w:pPr>
      <w:keepNext w:val="0"/>
      <w:tabs>
        <w:tab w:val="right" w:pos="4176"/>
      </w:tabs>
      <w:ind w:left="198" w:hanging="198"/>
    </w:pPr>
    <w:rPr>
      <w:rFonts w:ascii="Garamond" w:hAnsi="Garamond"/>
    </w:rPr>
  </w:style>
  <w:style w:type="paragraph" w:styleId="IndexHeading">
    <w:name w:val="index heading"/>
    <w:basedOn w:val="Normal"/>
    <w:next w:val="Index1"/>
    <w:semiHidden/>
    <w:rsid w:val="00566EB0"/>
    <w:pPr>
      <w:spacing w:before="120" w:after="120"/>
    </w:pPr>
    <w:rPr>
      <w:rFonts w:ascii="Arial" w:hAnsi="Arial"/>
      <w:b/>
      <w:color w:val="918585"/>
      <w:sz w:val="24"/>
    </w:rPr>
  </w:style>
  <w:style w:type="paragraph" w:styleId="Header">
    <w:name w:val="header"/>
    <w:basedOn w:val="Normal"/>
    <w:link w:val="HeaderChar"/>
    <w:rsid w:val="00566E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EB0"/>
    <w:rPr>
      <w:rFonts w:ascii="Times New Roman" w:eastAsia="Times New Roman" w:hAnsi="Times New Roman" w:cs="Times New Roman"/>
      <w:sz w:val="16"/>
      <w:szCs w:val="20"/>
      <w:lang w:val="en-GB" w:eastAsia="en-US"/>
    </w:rPr>
  </w:style>
  <w:style w:type="paragraph" w:customStyle="1" w:styleId="Chapter">
    <w:name w:val="Chapter"/>
    <w:basedOn w:val="Normal"/>
    <w:rsid w:val="00566EB0"/>
    <w:pPr>
      <w:spacing w:before="240"/>
    </w:pPr>
    <w:rPr>
      <w:rFonts w:ascii="Times New Roman" w:hAnsi="Times New Roman"/>
      <w:smallCaps/>
      <w:spacing w:val="80"/>
      <w:sz w:val="28"/>
    </w:rPr>
  </w:style>
  <w:style w:type="paragraph" w:customStyle="1" w:styleId="InChapter">
    <w:name w:val="InChapter"/>
    <w:basedOn w:val="Heading3"/>
    <w:rsid w:val="00566EB0"/>
    <w:pPr>
      <w:spacing w:after="240"/>
      <w:outlineLvl w:val="9"/>
    </w:pPr>
    <w:rPr>
      <w:noProof/>
    </w:rPr>
  </w:style>
  <w:style w:type="paragraph" w:styleId="Index2">
    <w:name w:val="index 2"/>
    <w:basedOn w:val="Normal"/>
    <w:next w:val="Normal"/>
    <w:semiHidden/>
    <w:rsid w:val="00566EB0"/>
    <w:pPr>
      <w:tabs>
        <w:tab w:val="right" w:pos="4176"/>
      </w:tabs>
      <w:ind w:left="568" w:hanging="284"/>
    </w:pPr>
    <w:rPr>
      <w:rFonts w:ascii="Garamond" w:hAnsi="Garamond"/>
    </w:rPr>
  </w:style>
  <w:style w:type="paragraph" w:customStyle="1" w:styleId="Byline">
    <w:name w:val="Byline"/>
    <w:rsid w:val="00566E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EB0"/>
    <w:pPr>
      <w:tabs>
        <w:tab w:val="clear" w:pos="3600"/>
        <w:tab w:val="clear" w:pos="3958"/>
      </w:tabs>
      <w:jc w:val="right"/>
    </w:pPr>
  </w:style>
  <w:style w:type="character" w:styleId="Emphasis">
    <w:name w:val="Emphasis"/>
    <w:basedOn w:val="DefaultParagraphFont"/>
    <w:qFormat/>
    <w:rsid w:val="00566EB0"/>
    <w:rPr>
      <w:i/>
    </w:rPr>
  </w:style>
  <w:style w:type="paragraph" w:styleId="Caption">
    <w:name w:val="caption"/>
    <w:basedOn w:val="BodyText"/>
    <w:next w:val="Normal"/>
    <w:qFormat/>
    <w:rsid w:val="00566EB0"/>
    <w:pPr>
      <w:framePr w:w="2268" w:hSpace="181" w:vSpace="181" w:wrap="around" w:vAnchor="text" w:hAnchor="page" w:x="1135" w:y="285" w:anchorLock="1"/>
    </w:pPr>
    <w:rPr>
      <w:i/>
    </w:rPr>
  </w:style>
  <w:style w:type="paragraph" w:customStyle="1" w:styleId="MiniTOCTitle">
    <w:name w:val="MiniTOCTitle"/>
    <w:basedOn w:val="Heading4"/>
    <w:rsid w:val="00566EB0"/>
    <w:pPr>
      <w:spacing w:before="240"/>
      <w:outlineLvl w:val="9"/>
    </w:pPr>
    <w:rPr>
      <w:noProof/>
      <w:sz w:val="24"/>
    </w:rPr>
  </w:style>
  <w:style w:type="paragraph" w:customStyle="1" w:styleId="MiniTOCItem">
    <w:name w:val="MiniTOCItem"/>
    <w:basedOn w:val="ListBullet"/>
    <w:rsid w:val="00566EB0"/>
    <w:pPr>
      <w:numPr>
        <w:numId w:val="0"/>
      </w:numPr>
      <w:tabs>
        <w:tab w:val="right" w:leader="dot" w:pos="6521"/>
      </w:tabs>
      <w:spacing w:before="0" w:after="0"/>
    </w:pPr>
  </w:style>
  <w:style w:type="paragraph" w:customStyle="1" w:styleId="TOFTitle">
    <w:name w:val="TOFTitle"/>
    <w:basedOn w:val="TOCTitle"/>
    <w:rsid w:val="00566EB0"/>
  </w:style>
  <w:style w:type="paragraph" w:styleId="TableofFigures">
    <w:name w:val="table of figures"/>
    <w:basedOn w:val="Normal"/>
    <w:next w:val="Normal"/>
    <w:semiHidden/>
    <w:rsid w:val="00566EB0"/>
    <w:pPr>
      <w:tabs>
        <w:tab w:val="right" w:leader="dot" w:pos="9072"/>
      </w:tabs>
      <w:ind w:left="970" w:hanging="403"/>
    </w:pPr>
    <w:rPr>
      <w:rFonts w:ascii="Times New Roman" w:hAnsi="Times New Roman"/>
      <w:b/>
    </w:rPr>
  </w:style>
  <w:style w:type="paragraph" w:styleId="ListNumber">
    <w:name w:val="List Number"/>
    <w:basedOn w:val="List"/>
    <w:rsid w:val="00566EB0"/>
    <w:pPr>
      <w:numPr>
        <w:numId w:val="10"/>
      </w:numPr>
    </w:pPr>
  </w:style>
  <w:style w:type="character" w:customStyle="1" w:styleId="WingdingSymbols">
    <w:name w:val="Wingding Symbols"/>
    <w:rsid w:val="00566EB0"/>
    <w:rPr>
      <w:rFonts w:ascii="Wingdings" w:hAnsi="Wingdings"/>
    </w:rPr>
  </w:style>
  <w:style w:type="paragraph" w:customStyle="1" w:styleId="TableHeading">
    <w:name w:val="Table Heading"/>
    <w:basedOn w:val="HeadingBase"/>
    <w:rsid w:val="00566EB0"/>
    <w:pPr>
      <w:keepLines/>
      <w:pBdr>
        <w:bottom w:val="single" w:sz="6" w:space="1" w:color="918585"/>
      </w:pBdr>
      <w:spacing w:before="240"/>
    </w:pPr>
  </w:style>
  <w:style w:type="character" w:customStyle="1" w:styleId="HotSpot">
    <w:name w:val="HotSpot"/>
    <w:rsid w:val="00566EB0"/>
    <w:rPr>
      <w:color w:val="0033CC"/>
      <w:u w:val="none"/>
    </w:rPr>
  </w:style>
  <w:style w:type="paragraph" w:customStyle="1" w:styleId="BodyTextRight">
    <w:name w:val="Body Text Right"/>
    <w:basedOn w:val="BodyText"/>
    <w:rsid w:val="00566EB0"/>
    <w:pPr>
      <w:spacing w:before="0" w:after="0"/>
      <w:jc w:val="right"/>
    </w:pPr>
  </w:style>
  <w:style w:type="paragraph" w:styleId="Index3">
    <w:name w:val="index 3"/>
    <w:basedOn w:val="ListNumber2"/>
    <w:next w:val="Normal"/>
    <w:semiHidden/>
    <w:rsid w:val="00566EB0"/>
    <w:pPr>
      <w:numPr>
        <w:numId w:val="0"/>
      </w:numPr>
      <w:tabs>
        <w:tab w:val="right" w:leader="dot" w:pos="4176"/>
      </w:tabs>
    </w:pPr>
  </w:style>
  <w:style w:type="paragraph" w:styleId="ListNumber2">
    <w:name w:val="List Number 2"/>
    <w:basedOn w:val="List2"/>
    <w:rsid w:val="00566EB0"/>
    <w:pPr>
      <w:numPr>
        <w:numId w:val="9"/>
      </w:numPr>
      <w:tabs>
        <w:tab w:val="clear" w:pos="1060"/>
      </w:tabs>
    </w:pPr>
  </w:style>
  <w:style w:type="paragraph" w:customStyle="1" w:styleId="MarginNote">
    <w:name w:val="Margin Note"/>
    <w:basedOn w:val="BodyText"/>
    <w:rsid w:val="00566E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E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E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EB0"/>
    <w:rPr>
      <w:sz w:val="32"/>
    </w:rPr>
  </w:style>
  <w:style w:type="paragraph" w:customStyle="1" w:styleId="HeadingProcedure">
    <w:name w:val="Heading Procedure"/>
    <w:basedOn w:val="HeadingBase"/>
    <w:next w:val="Normal"/>
    <w:rsid w:val="00566EB0"/>
    <w:pPr>
      <w:tabs>
        <w:tab w:val="left" w:pos="0"/>
      </w:tabs>
      <w:spacing w:before="120" w:after="60"/>
    </w:pPr>
    <w:rPr>
      <w:i/>
      <w:color w:val="918585"/>
      <w:sz w:val="22"/>
    </w:rPr>
  </w:style>
  <w:style w:type="paragraph" w:customStyle="1" w:styleId="TableBodyText">
    <w:name w:val="Table Body Text"/>
    <w:basedOn w:val="BodyText"/>
    <w:rsid w:val="00566EB0"/>
    <w:pPr>
      <w:spacing w:before="60" w:after="60"/>
    </w:pPr>
  </w:style>
  <w:style w:type="paragraph" w:styleId="ListContinue">
    <w:name w:val="List Continue"/>
    <w:basedOn w:val="List"/>
    <w:rsid w:val="00566EB0"/>
    <w:pPr>
      <w:ind w:firstLine="0"/>
    </w:pPr>
  </w:style>
  <w:style w:type="paragraph" w:customStyle="1" w:styleId="ListNote">
    <w:name w:val="List Note"/>
    <w:basedOn w:val="List"/>
    <w:rsid w:val="00566EB0"/>
    <w:pPr>
      <w:pBdr>
        <w:top w:val="single" w:sz="6" w:space="2" w:color="918585"/>
        <w:bottom w:val="single" w:sz="6" w:space="2" w:color="918585"/>
      </w:pBdr>
      <w:tabs>
        <w:tab w:val="left" w:pos="1021"/>
      </w:tabs>
      <w:ind w:firstLine="0"/>
    </w:pPr>
  </w:style>
  <w:style w:type="paragraph" w:customStyle="1" w:styleId="Warning">
    <w:name w:val="Warning"/>
    <w:basedOn w:val="BodyText"/>
    <w:rsid w:val="00566EB0"/>
    <w:pPr>
      <w:shd w:val="clear" w:color="auto" w:fill="D9D9D9"/>
      <w:tabs>
        <w:tab w:val="left" w:pos="992"/>
      </w:tabs>
      <w:ind w:left="119" w:right="119"/>
    </w:pPr>
    <w:rPr>
      <w:sz w:val="20"/>
    </w:rPr>
  </w:style>
  <w:style w:type="paragraph" w:customStyle="1" w:styleId="MarginIcons">
    <w:name w:val="Margin Icons"/>
    <w:basedOn w:val="BodyText"/>
    <w:rsid w:val="00566E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EB0"/>
    <w:rPr>
      <w:rFonts w:ascii="Courier New" w:hAnsi="Courier New"/>
    </w:rPr>
  </w:style>
  <w:style w:type="paragraph" w:customStyle="1" w:styleId="NoteBullet">
    <w:name w:val="Note Bullet"/>
    <w:basedOn w:val="Note"/>
    <w:rsid w:val="00566EB0"/>
    <w:pPr>
      <w:tabs>
        <w:tab w:val="clear" w:pos="680"/>
      </w:tabs>
      <w:spacing w:before="60" w:after="60"/>
    </w:pPr>
  </w:style>
  <w:style w:type="paragraph" w:customStyle="1" w:styleId="SubHeading2">
    <w:name w:val="SubHeading2"/>
    <w:basedOn w:val="HeadingBase"/>
    <w:rsid w:val="00566EB0"/>
    <w:pPr>
      <w:spacing w:before="240" w:after="60"/>
    </w:pPr>
    <w:rPr>
      <w:sz w:val="20"/>
    </w:rPr>
  </w:style>
  <w:style w:type="paragraph" w:customStyle="1" w:styleId="SubHeading1">
    <w:name w:val="SubHeading1"/>
    <w:basedOn w:val="HeadingBase"/>
    <w:rsid w:val="00566EB0"/>
    <w:pPr>
      <w:spacing w:before="240" w:after="60"/>
    </w:pPr>
    <w:rPr>
      <w:color w:val="918585"/>
      <w:sz w:val="22"/>
    </w:rPr>
  </w:style>
  <w:style w:type="paragraph" w:customStyle="1" w:styleId="SideHeading">
    <w:name w:val="Side Heading"/>
    <w:basedOn w:val="HeadingBase"/>
    <w:rsid w:val="00566E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EB0"/>
    <w:pPr>
      <w:tabs>
        <w:tab w:val="num" w:pos="360"/>
      </w:tabs>
    </w:pPr>
  </w:style>
  <w:style w:type="paragraph" w:styleId="PlainText">
    <w:name w:val="Plain Text"/>
    <w:basedOn w:val="Normal"/>
    <w:link w:val="PlainTextChar"/>
    <w:rsid w:val="00566EB0"/>
    <w:rPr>
      <w:sz w:val="20"/>
    </w:rPr>
  </w:style>
  <w:style w:type="character" w:customStyle="1" w:styleId="PlainTextChar">
    <w:name w:val="Plain Text Char"/>
    <w:basedOn w:val="DefaultParagraphFont"/>
    <w:link w:val="PlainText"/>
    <w:rsid w:val="00566EB0"/>
    <w:rPr>
      <w:rFonts w:ascii="Courier New" w:eastAsia="Times New Roman" w:hAnsi="Courier New" w:cs="Times New Roman"/>
      <w:sz w:val="20"/>
      <w:szCs w:val="20"/>
      <w:lang w:eastAsia="en-US"/>
    </w:rPr>
  </w:style>
  <w:style w:type="character" w:customStyle="1" w:styleId="MenuOption">
    <w:name w:val="Menu Option"/>
    <w:basedOn w:val="DefaultParagraphFont"/>
    <w:rsid w:val="00566EB0"/>
    <w:rPr>
      <w:b/>
      <w:smallCaps/>
    </w:rPr>
  </w:style>
  <w:style w:type="paragraph" w:customStyle="1" w:styleId="TableListNumber">
    <w:name w:val="Table List Number"/>
    <w:basedOn w:val="ListNumber"/>
    <w:rsid w:val="00566EB0"/>
    <w:pPr>
      <w:numPr>
        <w:numId w:val="0"/>
      </w:numPr>
    </w:pPr>
  </w:style>
  <w:style w:type="paragraph" w:styleId="TOC4">
    <w:name w:val="toc 4"/>
    <w:basedOn w:val="TOCBase"/>
    <w:next w:val="Normal"/>
    <w:semiHidden/>
    <w:rsid w:val="00566EB0"/>
    <w:pPr>
      <w:tabs>
        <w:tab w:val="right" w:leader="dot" w:pos="9071"/>
      </w:tabs>
      <w:ind w:left="1701"/>
    </w:pPr>
  </w:style>
  <w:style w:type="paragraph" w:customStyle="1" w:styleId="ListAlpha">
    <w:name w:val="List Alpha"/>
    <w:basedOn w:val="List"/>
    <w:rsid w:val="00566EB0"/>
    <w:pPr>
      <w:numPr>
        <w:numId w:val="8"/>
      </w:numPr>
    </w:pPr>
  </w:style>
  <w:style w:type="paragraph" w:customStyle="1" w:styleId="ListAlpha2">
    <w:name w:val="List Alpha 2"/>
    <w:basedOn w:val="List2"/>
    <w:rsid w:val="00566EB0"/>
    <w:pPr>
      <w:numPr>
        <w:numId w:val="7"/>
      </w:numPr>
    </w:pPr>
  </w:style>
  <w:style w:type="paragraph" w:styleId="List2">
    <w:name w:val="List 2"/>
    <w:basedOn w:val="BodyText"/>
    <w:rsid w:val="00566EB0"/>
    <w:pPr>
      <w:tabs>
        <w:tab w:val="left" w:pos="680"/>
      </w:tabs>
      <w:spacing w:before="60" w:after="60"/>
      <w:ind w:left="680" w:hanging="340"/>
    </w:pPr>
  </w:style>
  <w:style w:type="paragraph" w:styleId="List3">
    <w:name w:val="List 3"/>
    <w:basedOn w:val="BodyText"/>
    <w:rsid w:val="00566EB0"/>
    <w:pPr>
      <w:tabs>
        <w:tab w:val="left" w:pos="1021"/>
      </w:tabs>
      <w:spacing w:before="60" w:after="60"/>
      <w:ind w:left="1020" w:hanging="340"/>
    </w:pPr>
  </w:style>
  <w:style w:type="paragraph" w:styleId="List4">
    <w:name w:val="List 4"/>
    <w:basedOn w:val="BodyText"/>
    <w:rsid w:val="00566EB0"/>
    <w:pPr>
      <w:tabs>
        <w:tab w:val="left" w:pos="1361"/>
      </w:tabs>
      <w:spacing w:before="60" w:after="60"/>
      <w:ind w:left="1361" w:hanging="340"/>
    </w:pPr>
  </w:style>
  <w:style w:type="paragraph" w:styleId="List5">
    <w:name w:val="List 5"/>
    <w:basedOn w:val="BodyText"/>
    <w:rsid w:val="00566EB0"/>
    <w:pPr>
      <w:tabs>
        <w:tab w:val="left" w:pos="1701"/>
      </w:tabs>
      <w:spacing w:before="60" w:after="60"/>
      <w:ind w:left="1701" w:hanging="340"/>
    </w:pPr>
  </w:style>
  <w:style w:type="paragraph" w:styleId="ListBullet3">
    <w:name w:val="List Bullet 3"/>
    <w:basedOn w:val="List3"/>
    <w:rsid w:val="00566EB0"/>
    <w:pPr>
      <w:numPr>
        <w:numId w:val="14"/>
      </w:numPr>
      <w:tabs>
        <w:tab w:val="clear" w:pos="1021"/>
      </w:tabs>
      <w:ind w:left="1037" w:hanging="357"/>
    </w:pPr>
  </w:style>
  <w:style w:type="paragraph" w:styleId="ListBullet4">
    <w:name w:val="List Bullet 4"/>
    <w:basedOn w:val="List4"/>
    <w:rsid w:val="00566EB0"/>
    <w:pPr>
      <w:numPr>
        <w:numId w:val="2"/>
      </w:numPr>
      <w:tabs>
        <w:tab w:val="clear" w:pos="1361"/>
      </w:tabs>
    </w:pPr>
  </w:style>
  <w:style w:type="paragraph" w:styleId="ListBullet5">
    <w:name w:val="List Bullet 5"/>
    <w:basedOn w:val="List5"/>
    <w:rsid w:val="00566EB0"/>
    <w:pPr>
      <w:numPr>
        <w:numId w:val="3"/>
      </w:numPr>
    </w:pPr>
  </w:style>
  <w:style w:type="paragraph" w:styleId="ListContinue2">
    <w:name w:val="List Continue 2"/>
    <w:basedOn w:val="List2"/>
    <w:rsid w:val="00566EB0"/>
    <w:pPr>
      <w:ind w:firstLine="0"/>
    </w:pPr>
  </w:style>
  <w:style w:type="paragraph" w:styleId="ListContinue3">
    <w:name w:val="List Continue 3"/>
    <w:basedOn w:val="List3"/>
    <w:rsid w:val="00566EB0"/>
    <w:pPr>
      <w:ind w:left="1021" w:firstLine="0"/>
    </w:pPr>
  </w:style>
  <w:style w:type="paragraph" w:styleId="ListContinue4">
    <w:name w:val="List Continue 4"/>
    <w:basedOn w:val="List4"/>
    <w:rsid w:val="00566EB0"/>
    <w:pPr>
      <w:ind w:firstLine="0"/>
    </w:pPr>
  </w:style>
  <w:style w:type="paragraph" w:styleId="ListContinue5">
    <w:name w:val="List Continue 5"/>
    <w:basedOn w:val="List5"/>
    <w:rsid w:val="00566EB0"/>
    <w:pPr>
      <w:ind w:firstLine="0"/>
    </w:pPr>
  </w:style>
  <w:style w:type="paragraph" w:styleId="ListNumber3">
    <w:name w:val="List Number 3"/>
    <w:basedOn w:val="List3"/>
    <w:rsid w:val="00566EB0"/>
    <w:pPr>
      <w:numPr>
        <w:numId w:val="4"/>
      </w:numPr>
    </w:pPr>
  </w:style>
  <w:style w:type="paragraph" w:styleId="ListNumber4">
    <w:name w:val="List Number 4"/>
    <w:basedOn w:val="List4"/>
    <w:rsid w:val="00566EB0"/>
    <w:pPr>
      <w:numPr>
        <w:numId w:val="5"/>
      </w:numPr>
    </w:pPr>
  </w:style>
  <w:style w:type="paragraph" w:styleId="ListNumber5">
    <w:name w:val="List Number 5"/>
    <w:basedOn w:val="List5"/>
    <w:rsid w:val="00566EB0"/>
    <w:pPr>
      <w:numPr>
        <w:numId w:val="6"/>
      </w:numPr>
    </w:pPr>
  </w:style>
  <w:style w:type="paragraph" w:styleId="BlockText">
    <w:name w:val="Block Text"/>
    <w:basedOn w:val="Normal"/>
    <w:rsid w:val="00566EB0"/>
    <w:pPr>
      <w:spacing w:after="120"/>
      <w:ind w:left="1440" w:right="1440"/>
    </w:pPr>
  </w:style>
  <w:style w:type="character" w:customStyle="1" w:styleId="Subscript">
    <w:name w:val="Subscript"/>
    <w:basedOn w:val="DefaultParagraphFont"/>
    <w:rsid w:val="00566EB0"/>
    <w:rPr>
      <w:sz w:val="16"/>
      <w:vertAlign w:val="subscript"/>
    </w:rPr>
  </w:style>
  <w:style w:type="character" w:customStyle="1" w:styleId="Superscript">
    <w:name w:val="Superscript"/>
    <w:basedOn w:val="DefaultParagraphFont"/>
    <w:rsid w:val="00566EB0"/>
    <w:rPr>
      <w:sz w:val="16"/>
      <w:vertAlign w:val="superscript"/>
    </w:rPr>
  </w:style>
  <w:style w:type="character" w:customStyle="1" w:styleId="MenuOptions">
    <w:name w:val="Menu Options"/>
    <w:basedOn w:val="DefaultParagraphFont"/>
    <w:rsid w:val="00566EB0"/>
    <w:rPr>
      <w:rFonts w:ascii="Arial Narrow" w:hAnsi="Arial Narrow"/>
      <w:smallCaps/>
    </w:rPr>
  </w:style>
  <w:style w:type="character" w:customStyle="1" w:styleId="Buttons">
    <w:name w:val="Buttons"/>
    <w:basedOn w:val="DefaultParagraphFont"/>
    <w:rsid w:val="00566EB0"/>
    <w:rPr>
      <w:b/>
    </w:rPr>
  </w:style>
  <w:style w:type="character" w:customStyle="1" w:styleId="Underlined">
    <w:name w:val="Underlined"/>
    <w:basedOn w:val="DefaultParagraphFont"/>
    <w:rsid w:val="00566EB0"/>
    <w:rPr>
      <w:u w:val="single"/>
    </w:rPr>
  </w:style>
  <w:style w:type="paragraph" w:customStyle="1" w:styleId="TableBodyTextRight">
    <w:name w:val="Table Body Text Right"/>
    <w:basedOn w:val="TableBodyText"/>
    <w:rsid w:val="00566EB0"/>
    <w:pPr>
      <w:widowControl w:val="0"/>
      <w:autoSpaceDE w:val="0"/>
      <w:autoSpaceDN w:val="0"/>
      <w:adjustRightInd w:val="0"/>
      <w:jc w:val="right"/>
    </w:pPr>
    <w:rPr>
      <w:rFonts w:cs="Arial"/>
      <w:szCs w:val="18"/>
    </w:rPr>
  </w:style>
  <w:style w:type="paragraph" w:customStyle="1" w:styleId="CopyrightText">
    <w:name w:val="Copyright Text"/>
    <w:basedOn w:val="BodyText"/>
    <w:rsid w:val="00566EB0"/>
    <w:rPr>
      <w:sz w:val="18"/>
    </w:rPr>
  </w:style>
  <w:style w:type="paragraph" w:customStyle="1" w:styleId="BodySmallRight">
    <w:name w:val="Body Small Right"/>
    <w:basedOn w:val="BodyTextRight"/>
    <w:rsid w:val="00566EB0"/>
    <w:rPr>
      <w:sz w:val="18"/>
      <w:szCs w:val="18"/>
    </w:rPr>
  </w:style>
  <w:style w:type="paragraph" w:customStyle="1" w:styleId="MarginEdition">
    <w:name w:val="Margin Edition"/>
    <w:basedOn w:val="MarginNote"/>
    <w:rsid w:val="00566EB0"/>
    <w:pPr>
      <w:spacing w:before="0" w:after="0"/>
    </w:pPr>
    <w:rPr>
      <w:rFonts w:ascii="Times New Roman" w:hAnsi="Times New Roman"/>
      <w:color w:val="999999"/>
    </w:rPr>
  </w:style>
  <w:style w:type="paragraph" w:customStyle="1" w:styleId="Spacer">
    <w:name w:val="Spacer"/>
    <w:basedOn w:val="Normal"/>
    <w:rsid w:val="00566EB0"/>
    <w:rPr>
      <w:sz w:val="2"/>
      <w:szCs w:val="2"/>
    </w:rPr>
  </w:style>
  <w:style w:type="character" w:customStyle="1" w:styleId="Small">
    <w:name w:val="Small"/>
    <w:basedOn w:val="DefaultParagraphFont"/>
    <w:rsid w:val="00566EB0"/>
    <w:rPr>
      <w:sz w:val="16"/>
    </w:rPr>
  </w:style>
  <w:style w:type="paragraph" w:customStyle="1" w:styleId="WideTable">
    <w:name w:val="Wide Table"/>
    <w:basedOn w:val="Normal"/>
    <w:rsid w:val="00566EB0"/>
    <w:pPr>
      <w:ind w:left="-1418"/>
    </w:pPr>
    <w:rPr>
      <w:sz w:val="2"/>
      <w:szCs w:val="2"/>
    </w:rPr>
  </w:style>
  <w:style w:type="character" w:styleId="PageNumber">
    <w:name w:val="page number"/>
    <w:basedOn w:val="DefaultParagraphFont"/>
    <w:rsid w:val="00566EB0"/>
  </w:style>
  <w:style w:type="paragraph" w:styleId="Quote">
    <w:name w:val="Quote"/>
    <w:basedOn w:val="Heading1"/>
    <w:link w:val="QuoteChar"/>
    <w:qFormat/>
    <w:rsid w:val="00566EB0"/>
    <w:rPr>
      <w:b w:val="0"/>
      <w:sz w:val="72"/>
      <w:szCs w:val="72"/>
      <w:lang w:val="en-NZ"/>
    </w:rPr>
  </w:style>
  <w:style w:type="character" w:customStyle="1" w:styleId="QuoteChar">
    <w:name w:val="Quote Char"/>
    <w:basedOn w:val="DefaultParagraphFont"/>
    <w:link w:val="Quote"/>
    <w:rsid w:val="00566E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EB0"/>
    <w:pPr>
      <w:pageBreakBefore/>
    </w:pPr>
  </w:style>
  <w:style w:type="paragraph" w:customStyle="1" w:styleId="Border">
    <w:name w:val="Border"/>
    <w:basedOn w:val="Normal"/>
    <w:qFormat/>
    <w:rsid w:val="00566E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EB0"/>
    <w:rPr>
      <w:b/>
      <w:bCs/>
      <w:i/>
      <w:iCs/>
      <w:color w:val="auto"/>
    </w:rPr>
  </w:style>
  <w:style w:type="paragraph" w:styleId="IntenseQuote">
    <w:name w:val="Intense Quote"/>
    <w:basedOn w:val="Normal"/>
    <w:next w:val="Normal"/>
    <w:link w:val="IntenseQuoteChar"/>
    <w:uiPriority w:val="30"/>
    <w:qFormat/>
    <w:rsid w:val="00566E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E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EB0"/>
    <w:rPr>
      <w:smallCaps/>
      <w:color w:val="auto"/>
      <w:u w:val="single"/>
    </w:rPr>
  </w:style>
  <w:style w:type="character" w:styleId="IntenseReference">
    <w:name w:val="Intense Reference"/>
    <w:basedOn w:val="DefaultParagraphFont"/>
    <w:uiPriority w:val="32"/>
    <w:qFormat/>
    <w:rsid w:val="00566EB0"/>
    <w:rPr>
      <w:b/>
      <w:bCs/>
      <w:smallCaps/>
      <w:color w:val="auto"/>
      <w:spacing w:val="5"/>
      <w:u w:val="single"/>
    </w:rPr>
  </w:style>
  <w:style w:type="paragraph" w:customStyle="1" w:styleId="2ColumnHeading">
    <w:name w:val="2Column Heading"/>
    <w:basedOn w:val="BodyText"/>
    <w:qFormat/>
    <w:rsid w:val="00566EB0"/>
    <w:pPr>
      <w:spacing w:after="60"/>
      <w:ind w:left="-2268"/>
    </w:pPr>
    <w:rPr>
      <w:b/>
    </w:rPr>
  </w:style>
  <w:style w:type="paragraph" w:customStyle="1" w:styleId="Heading1TOC">
    <w:name w:val="Heading1 TOC"/>
    <w:basedOn w:val="Normal"/>
    <w:qFormat/>
    <w:rsid w:val="00566EB0"/>
    <w:pPr>
      <w:spacing w:before="240" w:after="120"/>
    </w:pPr>
    <w:rPr>
      <w:rFonts w:ascii="Times New Roman" w:hAnsi="Times New Roman"/>
      <w:b/>
      <w:sz w:val="32"/>
    </w:rPr>
  </w:style>
  <w:style w:type="paragraph" w:customStyle="1" w:styleId="Heading2TOC">
    <w:name w:val="Heading2 TOC"/>
    <w:basedOn w:val="Normal"/>
    <w:qFormat/>
    <w:rsid w:val="00566EB0"/>
    <w:pPr>
      <w:spacing w:before="240" w:after="60"/>
    </w:pPr>
    <w:rPr>
      <w:rFonts w:ascii="Times New Roman" w:hAnsi="Times New Roman"/>
      <w:b/>
      <w:sz w:val="28"/>
    </w:rPr>
  </w:style>
  <w:style w:type="character" w:customStyle="1" w:styleId="Underline">
    <w:name w:val="Underline"/>
    <w:basedOn w:val="DefaultParagraphFont"/>
    <w:qFormat/>
    <w:rsid w:val="00566EB0"/>
    <w:rPr>
      <w:u w:val="single"/>
    </w:rPr>
  </w:style>
  <w:style w:type="character" w:customStyle="1" w:styleId="BoldandItalics">
    <w:name w:val="Bold and Italics"/>
    <w:qFormat/>
    <w:rsid w:val="00566EB0"/>
    <w:rPr>
      <w:b/>
      <w:i/>
      <w:u w:val="none"/>
    </w:rPr>
  </w:style>
  <w:style w:type="paragraph" w:styleId="BalloonText">
    <w:name w:val="Balloon Text"/>
    <w:basedOn w:val="Normal"/>
    <w:link w:val="BalloonTextChar"/>
    <w:rsid w:val="00566EB0"/>
    <w:rPr>
      <w:rFonts w:ascii="Tahoma" w:hAnsi="Tahoma" w:cs="Tahoma"/>
      <w:sz w:val="16"/>
      <w:szCs w:val="16"/>
    </w:rPr>
  </w:style>
  <w:style w:type="character" w:customStyle="1" w:styleId="BalloonTextChar">
    <w:name w:val="Balloon Text Char"/>
    <w:basedOn w:val="DefaultParagraphFont"/>
    <w:link w:val="BalloonText"/>
    <w:rsid w:val="00566E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E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6E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EB0"/>
    <w:rPr>
      <w:b/>
      <w:color w:val="660033"/>
      <w:spacing w:val="0"/>
    </w:rPr>
  </w:style>
  <w:style w:type="paragraph" w:customStyle="1" w:styleId="Nameditemlist">
    <w:name w:val="Named item list"/>
    <w:basedOn w:val="BodyText"/>
    <w:qFormat/>
    <w:rsid w:val="00566E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1353</Words>
  <Characters>9080</Characters>
  <Application>Microsoft Office Word</Application>
  <DocSecurity>0</DocSecurity>
  <Lines>345</Lines>
  <Paragraphs>149</Paragraphs>
  <ScaleCrop>false</ScaleCrop>
  <Company>Author-it Software Corporation Ltd.</Company>
  <LinksUpToDate>false</LinksUpToDate>
  <CharactersWithSpaces>10336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MSL974009 Undertake field-based, remote-sensing monitoring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2016-06-22T08:59:00Z</dcterms:created>
  <dcterms:modified xsi:type="dcterms:W3CDTF">2016-06-22T08:59:00Z</dcterms:modified>
</cp:coreProperties>
</file>