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6CA9" w:rsidP="00AA6CA9">
      <w:pPr>
        <w:pStyle w:val="Title"/>
      </w:pPr>
      <w:r>
        <w:fldChar w:fldCharType="begin"/>
      </w:r>
      <w:r>
        <w:instrText xml:space="preserve"> TITLE   \* MERGEFORMAT </w:instrText>
      </w:r>
      <w:r>
        <w:fldChar w:fldCharType="separate"/>
      </w:r>
      <w:r>
        <w:t>MSL974009 Undertake field-based, remote-sensing monitoring</w:t>
      </w:r>
      <w:r>
        <w:fldChar w:fldCharType="end"/>
      </w:r>
    </w:p>
    <w:p w:rsidR="00AA6CA9" w:rsidP="00AA6CA9">
      <w:pPr>
        <w:pStyle w:val="Version"/>
        <w:sectPr w:rsidSect="002A7C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7CB2" w:rsidP="002A7CB2">
      <w:pPr>
        <w:pStyle w:val="SuperHeading"/>
      </w:pPr>
      <w:r w:rsidRPr="002A7CB2">
        <w:t>MSL974009 Undertake field-based, remote-sensing monitoring</w:t>
      </w:r>
    </w:p>
    <w:p w:rsidR="00000000" w:rsidRPr="002A7CB2" w:rsidP="002A7CB2">
      <w:pPr>
        <w:pStyle w:val="Heading1"/>
      </w:pPr>
      <w:bookmarkStart w:id="1" w:name="O_899545"/>
      <w:bookmarkEnd w:id="1"/>
      <w:r w:rsidRPr="002A7CB2">
        <w:t>Modification History</w:t>
      </w:r>
    </w:p>
    <w:p w:rsidR="00000000" w:rsidRPr="002A7CB2" w:rsidP="00AA6CA9">
      <w:pPr>
        <w:pStyle w:val="BodyText"/>
      </w:pPr>
      <w:r w:rsidRPr="002A7CB2">
        <w:t>Release 1. Supersedes and is equivalent to MSL974009A Undertake field-based, remote-sensing monitoring</w:t>
      </w:r>
    </w:p>
    <w:p w:rsidR="00000000" w:rsidRPr="002A7CB2" w:rsidP="002A7CB2">
      <w:pPr>
        <w:pStyle w:val="Heading1"/>
      </w:pPr>
      <w:bookmarkStart w:id="2" w:name="O_899553"/>
      <w:bookmarkEnd w:id="2"/>
      <w:r w:rsidRPr="002A7CB2">
        <w:t>Application</w:t>
      </w:r>
    </w:p>
    <w:p w:rsidR="00000000" w:rsidRPr="002A7CB2" w:rsidP="00AA6CA9">
      <w:pPr>
        <w:pStyle w:val="BodyText"/>
      </w:pPr>
      <w:r w:rsidRPr="002A7CB2">
        <w:t>This unit of competency covers the ability to organise and undertake defined field-base</w:t>
      </w:r>
      <w:r w:rsidRPr="002A7CB2">
        <w:t>d, remote-sensing monitoring activities. These may include assembling, setting up and checking appropriate monitoring equipment on-site, sampling, data collection and storage, equipment and system maintenance, and associated field testing and laboratory an</w:t>
      </w:r>
      <w:r w:rsidRPr="002A7CB2">
        <w:t>alysis. This unit of competency does not cover developing specific monitoring protocols or detailed design and/or construction of instruments, buildings, structures associated with the remote-sensing monitoring activities.</w:t>
      </w:r>
    </w:p>
    <w:p w:rsidR="00000000" w:rsidRPr="002A7CB2" w:rsidP="00AA6CA9">
      <w:pPr>
        <w:pStyle w:val="BodyText"/>
      </w:pPr>
      <w:r w:rsidRPr="002A7CB2">
        <w:t>This unit of competency is appli</w:t>
      </w:r>
      <w:r w:rsidRPr="002A7CB2">
        <w:t>cable to technical, field and environmental officers working in the environmental services, geotechnical, construction materials testing and mining industry sectors.</w:t>
      </w:r>
    </w:p>
    <w:p w:rsidR="00000000" w:rsidRPr="002A7CB2" w:rsidP="00AA6CA9">
      <w:pPr>
        <w:pStyle w:val="BodyText"/>
      </w:pPr>
      <w:r w:rsidRPr="002A7CB2">
        <w:t xml:space="preserve">While no specific licensing or certification requirements apply to this unit at the time </w:t>
      </w:r>
      <w:r w:rsidRPr="002A7CB2">
        <w:t>of publication, laboratory operations are governed by relevant legislation, regulations and/or external accreditation requirements. Local requirements should be checked.</w:t>
      </w:r>
    </w:p>
    <w:p w:rsidR="00000000" w:rsidRPr="002A7CB2" w:rsidP="002A7CB2">
      <w:pPr>
        <w:pStyle w:val="Heading1"/>
      </w:pPr>
      <w:bookmarkStart w:id="3" w:name="O_899552"/>
      <w:bookmarkEnd w:id="3"/>
      <w:r w:rsidRPr="002A7CB2">
        <w:t>Pre-requisite Unit</w:t>
      </w:r>
    </w:p>
    <w:p w:rsidR="00000000" w:rsidRPr="002A7CB2" w:rsidP="00AA6CA9">
      <w:pPr>
        <w:pStyle w:val="BodyText"/>
      </w:pPr>
      <w:r w:rsidRPr="002A7CB2">
        <w:t>Nil</w:t>
      </w:r>
    </w:p>
    <w:p w:rsidR="00000000" w:rsidRPr="002A7CB2" w:rsidP="002A7CB2">
      <w:pPr>
        <w:pStyle w:val="Heading1"/>
      </w:pPr>
      <w:bookmarkStart w:id="4" w:name="O_899551"/>
      <w:bookmarkEnd w:id="4"/>
      <w:r w:rsidRPr="002A7CB2">
        <w:t>Competency Field</w:t>
      </w:r>
    </w:p>
    <w:p w:rsidR="00000000" w:rsidRPr="002A7CB2" w:rsidP="00AA6CA9">
      <w:pPr>
        <w:pStyle w:val="BodyText"/>
      </w:pPr>
      <w:r w:rsidRPr="002A7CB2">
        <w:t>Testing</w:t>
      </w:r>
    </w:p>
    <w:p w:rsidR="00000000" w:rsidRPr="002A7CB2" w:rsidP="002A7CB2">
      <w:pPr>
        <w:pStyle w:val="Heading1"/>
      </w:pPr>
      <w:bookmarkStart w:id="5" w:name="O_899550"/>
      <w:bookmarkEnd w:id="5"/>
      <w:r w:rsidRPr="002A7CB2">
        <w:t>Unit Sector</w:t>
      </w:r>
    </w:p>
    <w:p w:rsidR="00000000" w:rsidRPr="002A7CB2" w:rsidP="002A7CB2">
      <w:pPr>
        <w:pStyle w:val="Heading1"/>
      </w:pPr>
      <w:bookmarkStart w:id="6" w:name="O_899549"/>
      <w:bookmarkEnd w:id="6"/>
      <w:r w:rsidRPr="002A7CB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A7CB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A7CB2">
            <w:pPr>
              <w:pStyle w:val="BodyText"/>
              <w:rPr>
                <w:lang w:val="en-NZ"/>
              </w:rPr>
            </w:pPr>
            <w:r w:rsidRPr="002A7CB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A7CB2">
            <w:pPr>
              <w:pStyle w:val="BodyText"/>
              <w:rPr>
                <w:lang w:val="en-NZ"/>
              </w:rPr>
            </w:pPr>
            <w:r w:rsidRPr="002A7CB2">
              <w:t>Performance criteria describe the performance needed to demonstrate achievement of the element.</w:t>
            </w:r>
          </w:p>
        </w:tc>
      </w:tr>
      <w:tr w:rsidTr="002A7C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A7CB2" w:rsidP="002A7CB2">
            <w:pPr>
              <w:pStyle w:val="BodyText"/>
            </w:pPr>
            <w:r w:rsidRPr="002A7CB2">
              <w:t>1</w:t>
            </w:r>
          </w:p>
        </w:tc>
        <w:tc>
          <w:tcPr>
            <w:tcW w:w="1962" w:type="dxa"/>
            <w:vMerge w:val="restart"/>
            <w:tcBorders>
              <w:top w:val="nil"/>
              <w:left w:val="nil"/>
              <w:bottom w:val="nil"/>
              <w:right w:val="nil"/>
            </w:tcBorders>
            <w:tcMar>
              <w:top w:w="0" w:type="dxa"/>
              <w:left w:w="62" w:type="dxa"/>
              <w:bottom w:w="0" w:type="dxa"/>
              <w:right w:w="62" w:type="dxa"/>
            </w:tcMar>
          </w:tcPr>
          <w:p w:rsidR="00000000" w:rsidP="002A7CB2">
            <w:pPr>
              <w:pStyle w:val="BodyText"/>
              <w:rPr>
                <w:lang w:val="en-NZ"/>
              </w:rPr>
            </w:pPr>
            <w:r w:rsidRPr="002A7CB2">
              <w:rPr>
                <w:rStyle w:val="SpecialBold"/>
              </w:rPr>
              <w:t xml:space="preserve">Confirm monitoring </w:t>
            </w:r>
            <w:r w:rsidRPr="002A7CB2">
              <w:rPr>
                <w:rStyle w:val="SpecialBold"/>
              </w:rPr>
              <w:t>requirements with supervising staff</w:t>
            </w:r>
          </w:p>
        </w:tc>
        <w:tc>
          <w:tcPr>
            <w:tcW w:w="770" w:type="dxa"/>
            <w:tcBorders>
              <w:top w:val="nil"/>
              <w:left w:val="nil"/>
              <w:bottom w:val="nil"/>
              <w:right w:val="nil"/>
            </w:tcBorders>
            <w:tcMar>
              <w:top w:w="0" w:type="dxa"/>
              <w:left w:w="62" w:type="dxa"/>
              <w:bottom w:w="0" w:type="dxa"/>
              <w:right w:w="62" w:type="dxa"/>
            </w:tcMar>
          </w:tcPr>
          <w:p w:rsidR="00000000" w:rsidP="002A7CB2">
            <w:pPr>
              <w:pStyle w:val="BodyText"/>
              <w:rPr>
                <w:lang w:val="en-NZ"/>
              </w:rPr>
            </w:pPr>
            <w:r w:rsidRPr="002A7CB2">
              <w:t>1.1</w:t>
            </w:r>
          </w:p>
        </w:tc>
        <w:tc>
          <w:tcPr>
            <w:tcW w:w="5610" w:type="dxa"/>
            <w:tcBorders>
              <w:top w:val="nil"/>
              <w:left w:val="nil"/>
              <w:bottom w:val="nil"/>
              <w:right w:val="nil"/>
            </w:tcBorders>
            <w:tcMar>
              <w:top w:w="0" w:type="dxa"/>
              <w:left w:w="62" w:type="dxa"/>
              <w:bottom w:w="0" w:type="dxa"/>
              <w:right w:w="62" w:type="dxa"/>
            </w:tcMar>
          </w:tcPr>
          <w:p w:rsidR="00000000" w:rsidP="002A7CB2">
            <w:pPr>
              <w:pStyle w:val="BodyText"/>
              <w:rPr>
                <w:lang w:val="en-NZ"/>
              </w:rPr>
            </w:pPr>
            <w:r w:rsidRPr="002A7CB2">
              <w:t>Clarify the purpose, objectives and the preferred site for the remote-sensing activities</w:t>
            </w:r>
          </w:p>
        </w:tc>
      </w:tr>
      <w:tr w:rsidTr="002A7C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7CB2">
            <w:pPr>
              <w:pStyle w:val="BodyText"/>
              <w:rPr>
                <w:lang w:val="en-NZ"/>
              </w:rPr>
            </w:pPr>
            <w:r w:rsidRPr="002A7CB2">
              <w:t>1.2</w:t>
            </w:r>
          </w:p>
        </w:tc>
        <w:tc>
          <w:tcPr>
            <w:tcW w:w="5610" w:type="dxa"/>
            <w:tcBorders>
              <w:top w:val="nil"/>
              <w:left w:val="nil"/>
              <w:bottom w:val="nil"/>
              <w:right w:val="nil"/>
            </w:tcBorders>
            <w:tcMar>
              <w:top w:w="0" w:type="dxa"/>
              <w:left w:w="62" w:type="dxa"/>
              <w:bottom w:w="0" w:type="dxa"/>
              <w:right w:w="62" w:type="dxa"/>
            </w:tcMar>
          </w:tcPr>
          <w:p w:rsidR="00000000" w:rsidP="002A7CB2">
            <w:pPr>
              <w:pStyle w:val="BodyText"/>
              <w:rPr>
                <w:lang w:val="en-NZ"/>
              </w:rPr>
            </w:pPr>
            <w:r w:rsidRPr="002A7CB2">
              <w:t>Review all emergency and hazard/risk assessments, site safety and environmental requirements, and dat</w:t>
            </w:r>
            <w:r w:rsidRPr="002A7CB2">
              <w:t>a quality procedures for the field activities</w:t>
            </w:r>
          </w:p>
        </w:tc>
      </w:tr>
      <w:tr w:rsidTr="002A7C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7CB2">
            <w:pPr>
              <w:pStyle w:val="BodyText"/>
              <w:rPr>
                <w:lang w:val="en-NZ"/>
              </w:rPr>
            </w:pPr>
            <w:r w:rsidRPr="002A7CB2">
              <w:t>1.3</w:t>
            </w:r>
          </w:p>
        </w:tc>
        <w:tc>
          <w:tcPr>
            <w:tcW w:w="5610" w:type="dxa"/>
            <w:tcBorders>
              <w:top w:val="nil"/>
              <w:left w:val="nil"/>
              <w:bottom w:val="nil"/>
              <w:right w:val="nil"/>
            </w:tcBorders>
            <w:tcMar>
              <w:top w:w="0" w:type="dxa"/>
              <w:left w:w="62" w:type="dxa"/>
              <w:bottom w:w="0" w:type="dxa"/>
              <w:right w:w="62" w:type="dxa"/>
            </w:tcMar>
          </w:tcPr>
          <w:p w:rsidR="00000000" w:rsidP="002A7CB2">
            <w:pPr>
              <w:pStyle w:val="BodyText"/>
              <w:rPr>
                <w:lang w:val="en-NZ"/>
              </w:rPr>
            </w:pPr>
            <w:r w:rsidRPr="002A7CB2">
              <w:t>Clarify details of all field parameters to be monitored and the preferred monitoring and data quality procedures</w:t>
            </w:r>
          </w:p>
        </w:tc>
      </w:tr>
      <w:tr w:rsidTr="002A7C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7CB2">
            <w:pPr>
              <w:pStyle w:val="BodyText"/>
              <w:rPr>
                <w:lang w:val="en-NZ"/>
              </w:rPr>
            </w:pPr>
            <w:r w:rsidRPr="002A7CB2">
              <w:t>1.4</w:t>
            </w:r>
          </w:p>
        </w:tc>
        <w:tc>
          <w:tcPr>
            <w:tcW w:w="5610" w:type="dxa"/>
            <w:tcBorders>
              <w:top w:val="nil"/>
              <w:left w:val="nil"/>
              <w:bottom w:val="nil"/>
              <w:right w:val="nil"/>
            </w:tcBorders>
            <w:tcMar>
              <w:top w:w="0" w:type="dxa"/>
              <w:left w:w="62" w:type="dxa"/>
              <w:bottom w:w="0" w:type="dxa"/>
              <w:right w:w="62" w:type="dxa"/>
            </w:tcMar>
          </w:tcPr>
          <w:p w:rsidR="00000000" w:rsidP="002A7CB2">
            <w:pPr>
              <w:pStyle w:val="BodyText"/>
              <w:rPr>
                <w:lang w:val="en-NZ"/>
              </w:rPr>
            </w:pPr>
            <w:r w:rsidRPr="002A7CB2">
              <w:t>Confirm final data formats will suit stakeholders who receive or use the data</w:t>
            </w:r>
          </w:p>
        </w:tc>
      </w:tr>
      <w:tr w:rsidTr="002A7C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7CB2">
            <w:pPr>
              <w:pStyle w:val="BodyText"/>
              <w:rPr>
                <w:lang w:val="en-NZ"/>
              </w:rPr>
            </w:pPr>
            <w:r w:rsidRPr="002A7CB2">
              <w:t>1.5</w:t>
            </w:r>
          </w:p>
        </w:tc>
        <w:tc>
          <w:tcPr>
            <w:tcW w:w="5610" w:type="dxa"/>
            <w:tcBorders>
              <w:top w:val="nil"/>
              <w:left w:val="nil"/>
              <w:bottom w:val="nil"/>
              <w:right w:val="nil"/>
            </w:tcBorders>
            <w:tcMar>
              <w:top w:w="0" w:type="dxa"/>
              <w:left w:w="62" w:type="dxa"/>
              <w:bottom w:w="0" w:type="dxa"/>
              <w:right w:w="62" w:type="dxa"/>
            </w:tcMar>
          </w:tcPr>
          <w:p w:rsidR="00000000" w:rsidP="002A7CB2">
            <w:pPr>
              <w:pStyle w:val="BodyText"/>
              <w:rPr>
                <w:lang w:val="en-NZ"/>
              </w:rPr>
            </w:pPr>
            <w:r w:rsidRPr="002A7CB2">
              <w:t>Clarify details of any statutory requirements that apply to the site and associated field activities</w:t>
            </w:r>
          </w:p>
        </w:tc>
      </w:tr>
      <w:tr w:rsidTr="002A7C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7CB2">
            <w:pPr>
              <w:pStyle w:val="BodyText"/>
              <w:rPr>
                <w:lang w:val="en-NZ"/>
              </w:rPr>
            </w:pPr>
            <w:r w:rsidRPr="002A7CB2">
              <w:t>1.6</w:t>
            </w:r>
          </w:p>
        </w:tc>
        <w:tc>
          <w:tcPr>
            <w:tcW w:w="5610" w:type="dxa"/>
            <w:tcBorders>
              <w:top w:val="nil"/>
              <w:left w:val="nil"/>
              <w:bottom w:val="nil"/>
              <w:right w:val="nil"/>
            </w:tcBorders>
            <w:tcMar>
              <w:top w:w="0" w:type="dxa"/>
              <w:left w:w="62" w:type="dxa"/>
              <w:bottom w:w="0" w:type="dxa"/>
              <w:right w:w="62" w:type="dxa"/>
            </w:tcMar>
          </w:tcPr>
          <w:p w:rsidR="00000000" w:rsidP="002A7CB2">
            <w:pPr>
              <w:pStyle w:val="BodyText"/>
              <w:rPr>
                <w:lang w:val="en-NZ"/>
              </w:rPr>
            </w:pPr>
            <w:r w:rsidRPr="002A7CB2">
              <w:t>Review existing remote-sensing monitoring protocols, and siting standards or associated in-house requirements which relate to the field activiti</w:t>
            </w:r>
            <w:r w:rsidRPr="002A7CB2">
              <w:t>es</w:t>
            </w:r>
          </w:p>
        </w:tc>
      </w:tr>
      <w:tr w:rsidTr="002A7CB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A7CB2">
            <w:pPr>
              <w:pStyle w:val="BodyText"/>
              <w:rPr>
                <w:lang w:val="en-NZ"/>
              </w:rPr>
            </w:pPr>
          </w:p>
        </w:tc>
      </w:tr>
      <w:tr w:rsidTr="002A7C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A7CB2" w:rsidP="002A7CB2">
            <w:pPr>
              <w:pStyle w:val="BodyText"/>
            </w:pPr>
            <w:r w:rsidRPr="002A7CB2">
              <w:t>2</w:t>
            </w:r>
          </w:p>
        </w:tc>
        <w:tc>
          <w:tcPr>
            <w:tcW w:w="1962" w:type="dxa"/>
            <w:vMerge w:val="restart"/>
            <w:tcBorders>
              <w:top w:val="nil"/>
              <w:left w:val="nil"/>
              <w:bottom w:val="nil"/>
              <w:right w:val="nil"/>
            </w:tcBorders>
            <w:tcMar>
              <w:top w:w="0" w:type="dxa"/>
              <w:left w:w="62" w:type="dxa"/>
              <w:bottom w:w="0" w:type="dxa"/>
              <w:right w:w="62" w:type="dxa"/>
            </w:tcMar>
          </w:tcPr>
          <w:p w:rsidR="00000000" w:rsidP="002A7CB2">
            <w:pPr>
              <w:pStyle w:val="BodyText"/>
              <w:rPr>
                <w:lang w:val="en-NZ"/>
              </w:rPr>
            </w:pPr>
            <w:r w:rsidRPr="002A7CB2">
              <w:rPr>
                <w:rStyle w:val="SpecialBold"/>
              </w:rPr>
              <w:t>Assemble remote-sensing field monitoring system</w:t>
            </w:r>
          </w:p>
        </w:tc>
        <w:tc>
          <w:tcPr>
            <w:tcW w:w="770" w:type="dxa"/>
            <w:tcBorders>
              <w:top w:val="nil"/>
              <w:left w:val="nil"/>
              <w:bottom w:val="nil"/>
              <w:right w:val="nil"/>
            </w:tcBorders>
            <w:tcMar>
              <w:top w:w="0" w:type="dxa"/>
              <w:left w:w="62" w:type="dxa"/>
              <w:bottom w:w="0" w:type="dxa"/>
              <w:right w:w="62" w:type="dxa"/>
            </w:tcMar>
          </w:tcPr>
          <w:p w:rsidR="00000000" w:rsidP="002A7CB2">
            <w:pPr>
              <w:pStyle w:val="BodyText"/>
              <w:rPr>
                <w:lang w:val="en-NZ"/>
              </w:rPr>
            </w:pPr>
            <w:r w:rsidRPr="002A7CB2">
              <w:t>2.1</w:t>
            </w:r>
          </w:p>
        </w:tc>
        <w:tc>
          <w:tcPr>
            <w:tcW w:w="5610" w:type="dxa"/>
            <w:tcBorders>
              <w:top w:val="nil"/>
              <w:left w:val="nil"/>
              <w:bottom w:val="nil"/>
              <w:right w:val="nil"/>
            </w:tcBorders>
            <w:tcMar>
              <w:top w:w="0" w:type="dxa"/>
              <w:left w:w="62" w:type="dxa"/>
              <w:bottom w:w="0" w:type="dxa"/>
              <w:right w:w="62" w:type="dxa"/>
            </w:tcMar>
          </w:tcPr>
          <w:p w:rsidR="00000000" w:rsidP="002A7CB2">
            <w:pPr>
              <w:pStyle w:val="BodyText"/>
              <w:rPr>
                <w:lang w:val="en-NZ"/>
              </w:rPr>
            </w:pPr>
            <w:r w:rsidRPr="002A7CB2">
              <w:t>Identify required instruments, equipment and consumables and associated maintenance and replacement procedures</w:t>
            </w:r>
          </w:p>
        </w:tc>
      </w:tr>
      <w:tr w:rsidTr="002A7C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7CB2">
            <w:pPr>
              <w:pStyle w:val="BodyText"/>
              <w:rPr>
                <w:lang w:val="en-NZ"/>
              </w:rPr>
            </w:pPr>
            <w:r w:rsidRPr="002A7CB2">
              <w:t>2.2</w:t>
            </w:r>
          </w:p>
        </w:tc>
        <w:tc>
          <w:tcPr>
            <w:tcW w:w="5610" w:type="dxa"/>
            <w:tcBorders>
              <w:top w:val="nil"/>
              <w:left w:val="nil"/>
              <w:bottom w:val="nil"/>
              <w:right w:val="nil"/>
            </w:tcBorders>
            <w:tcMar>
              <w:top w:w="0" w:type="dxa"/>
              <w:left w:w="62" w:type="dxa"/>
              <w:bottom w:w="0" w:type="dxa"/>
              <w:right w:w="62" w:type="dxa"/>
            </w:tcMar>
          </w:tcPr>
          <w:p w:rsidR="00000000" w:rsidP="002A7CB2">
            <w:pPr>
              <w:pStyle w:val="BodyText"/>
              <w:rPr>
                <w:lang w:val="en-NZ"/>
              </w:rPr>
            </w:pPr>
            <w:r w:rsidRPr="002A7CB2">
              <w:t xml:space="preserve">Identify site access, services and security requirements and any site constraints </w:t>
            </w:r>
          </w:p>
        </w:tc>
      </w:tr>
      <w:tr w:rsidTr="002A7C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7CB2">
            <w:pPr>
              <w:pStyle w:val="BodyText"/>
              <w:rPr>
                <w:lang w:val="en-NZ"/>
              </w:rPr>
            </w:pPr>
            <w:r w:rsidRPr="002A7CB2">
              <w:t>2.3</w:t>
            </w:r>
          </w:p>
        </w:tc>
        <w:tc>
          <w:tcPr>
            <w:tcW w:w="5610" w:type="dxa"/>
            <w:tcBorders>
              <w:top w:val="nil"/>
              <w:left w:val="nil"/>
              <w:bottom w:val="nil"/>
              <w:right w:val="nil"/>
            </w:tcBorders>
            <w:tcMar>
              <w:top w:w="0" w:type="dxa"/>
              <w:left w:w="62" w:type="dxa"/>
              <w:bottom w:w="0" w:type="dxa"/>
              <w:right w:w="62" w:type="dxa"/>
            </w:tcMar>
          </w:tcPr>
          <w:p w:rsidR="00000000" w:rsidP="002A7CB2">
            <w:pPr>
              <w:pStyle w:val="BodyText"/>
              <w:rPr>
                <w:lang w:val="en-NZ"/>
              </w:rPr>
            </w:pPr>
            <w:r w:rsidRPr="002A7CB2">
              <w:t>Complete all administrative requirements and obtain appropriate approvals</w:t>
            </w:r>
          </w:p>
        </w:tc>
      </w:tr>
      <w:tr w:rsidTr="002A7C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7CB2">
            <w:pPr>
              <w:pStyle w:val="BodyText"/>
              <w:rPr>
                <w:lang w:val="en-NZ"/>
              </w:rPr>
            </w:pPr>
            <w:r w:rsidRPr="002A7CB2">
              <w:t>2.4</w:t>
            </w:r>
          </w:p>
        </w:tc>
        <w:tc>
          <w:tcPr>
            <w:tcW w:w="5610" w:type="dxa"/>
            <w:tcBorders>
              <w:top w:val="nil"/>
              <w:left w:val="nil"/>
              <w:bottom w:val="nil"/>
              <w:right w:val="nil"/>
            </w:tcBorders>
            <w:tcMar>
              <w:top w:w="0" w:type="dxa"/>
              <w:left w:w="62" w:type="dxa"/>
              <w:bottom w:w="0" w:type="dxa"/>
              <w:right w:w="62" w:type="dxa"/>
            </w:tcMar>
          </w:tcPr>
          <w:p w:rsidR="00000000" w:rsidP="002A7CB2">
            <w:pPr>
              <w:pStyle w:val="BodyText"/>
              <w:rPr>
                <w:lang w:val="en-NZ"/>
              </w:rPr>
            </w:pPr>
            <w:r w:rsidRPr="002A7CB2">
              <w:t>Confirm required instrument calibration and data storage, handling and transfer systems</w:t>
            </w:r>
          </w:p>
        </w:tc>
      </w:tr>
      <w:tr w:rsidTr="002A7C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7CB2">
            <w:pPr>
              <w:pStyle w:val="BodyText"/>
              <w:rPr>
                <w:lang w:val="en-NZ"/>
              </w:rPr>
            </w:pPr>
            <w:r w:rsidRPr="002A7CB2">
              <w:t>2.5</w:t>
            </w:r>
          </w:p>
        </w:tc>
        <w:tc>
          <w:tcPr>
            <w:tcW w:w="5610" w:type="dxa"/>
            <w:tcBorders>
              <w:top w:val="nil"/>
              <w:left w:val="nil"/>
              <w:bottom w:val="nil"/>
              <w:right w:val="nil"/>
            </w:tcBorders>
            <w:tcMar>
              <w:top w:w="0" w:type="dxa"/>
              <w:left w:w="62" w:type="dxa"/>
              <w:bottom w:w="0" w:type="dxa"/>
              <w:right w:w="62" w:type="dxa"/>
            </w:tcMar>
          </w:tcPr>
          <w:p w:rsidR="00000000" w:rsidP="002A7CB2">
            <w:pPr>
              <w:pStyle w:val="BodyText"/>
              <w:rPr>
                <w:lang w:val="en-NZ"/>
              </w:rPr>
            </w:pPr>
            <w:r w:rsidRPr="002A7CB2">
              <w:t>Field-check site suitability for monitoring activities and define alternative sites as necessary</w:t>
            </w:r>
          </w:p>
        </w:tc>
      </w:tr>
      <w:tr w:rsidTr="002A7C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7CB2">
            <w:pPr>
              <w:pStyle w:val="BodyText"/>
              <w:rPr>
                <w:lang w:val="en-NZ"/>
              </w:rPr>
            </w:pPr>
            <w:r w:rsidRPr="002A7CB2">
              <w:t>2.6</w:t>
            </w:r>
          </w:p>
        </w:tc>
        <w:tc>
          <w:tcPr>
            <w:tcW w:w="5610" w:type="dxa"/>
            <w:tcBorders>
              <w:top w:val="nil"/>
              <w:left w:val="nil"/>
              <w:bottom w:val="nil"/>
              <w:right w:val="nil"/>
            </w:tcBorders>
            <w:tcMar>
              <w:top w:w="0" w:type="dxa"/>
              <w:left w:w="62" w:type="dxa"/>
              <w:bottom w:w="0" w:type="dxa"/>
              <w:right w:w="62" w:type="dxa"/>
            </w:tcMar>
          </w:tcPr>
          <w:p w:rsidR="00000000" w:rsidP="002A7CB2">
            <w:pPr>
              <w:pStyle w:val="BodyText"/>
              <w:rPr>
                <w:lang w:val="en-NZ"/>
              </w:rPr>
            </w:pPr>
            <w:r w:rsidRPr="002A7CB2">
              <w:t>Assemble remote-sensing monitoring system and check all c</w:t>
            </w:r>
            <w:r w:rsidRPr="002A7CB2">
              <w:t>omponents under laboratory conditions</w:t>
            </w:r>
          </w:p>
        </w:tc>
      </w:tr>
      <w:tr w:rsidTr="002A7CB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A7CB2">
            <w:pPr>
              <w:pStyle w:val="BodyText"/>
              <w:rPr>
                <w:lang w:val="en-NZ"/>
              </w:rPr>
            </w:pPr>
          </w:p>
        </w:tc>
      </w:tr>
      <w:tr w:rsidTr="002A7C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A7CB2" w:rsidP="002A7CB2">
            <w:pPr>
              <w:pStyle w:val="BodyText"/>
            </w:pPr>
            <w:r w:rsidRPr="002A7CB2">
              <w:t>3</w:t>
            </w:r>
          </w:p>
        </w:tc>
        <w:tc>
          <w:tcPr>
            <w:tcW w:w="1962" w:type="dxa"/>
            <w:vMerge w:val="restart"/>
            <w:tcBorders>
              <w:top w:val="nil"/>
              <w:left w:val="nil"/>
              <w:bottom w:val="nil"/>
              <w:right w:val="nil"/>
            </w:tcBorders>
            <w:tcMar>
              <w:top w:w="0" w:type="dxa"/>
              <w:left w:w="62" w:type="dxa"/>
              <w:bottom w:w="0" w:type="dxa"/>
              <w:right w:w="62" w:type="dxa"/>
            </w:tcMar>
          </w:tcPr>
          <w:p w:rsidR="00000000" w:rsidP="002A7CB2">
            <w:pPr>
              <w:pStyle w:val="BodyText"/>
              <w:rPr>
                <w:lang w:val="en-NZ"/>
              </w:rPr>
            </w:pPr>
            <w:r w:rsidRPr="002A7CB2">
              <w:rPr>
                <w:rStyle w:val="SpecialBold"/>
              </w:rPr>
              <w:t>Organise and establish the remote-sensing monitoring site</w:t>
            </w:r>
          </w:p>
        </w:tc>
        <w:tc>
          <w:tcPr>
            <w:tcW w:w="770" w:type="dxa"/>
            <w:tcBorders>
              <w:top w:val="nil"/>
              <w:left w:val="nil"/>
              <w:bottom w:val="nil"/>
              <w:right w:val="nil"/>
            </w:tcBorders>
            <w:tcMar>
              <w:top w:w="0" w:type="dxa"/>
              <w:left w:w="62" w:type="dxa"/>
              <w:bottom w:w="0" w:type="dxa"/>
              <w:right w:w="62" w:type="dxa"/>
            </w:tcMar>
          </w:tcPr>
          <w:p w:rsidR="00000000" w:rsidP="002A7CB2">
            <w:pPr>
              <w:pStyle w:val="BodyText"/>
              <w:rPr>
                <w:lang w:val="en-NZ"/>
              </w:rPr>
            </w:pPr>
            <w:r w:rsidRPr="002A7CB2">
              <w:t>3.1</w:t>
            </w:r>
          </w:p>
        </w:tc>
        <w:tc>
          <w:tcPr>
            <w:tcW w:w="5610" w:type="dxa"/>
            <w:tcBorders>
              <w:top w:val="nil"/>
              <w:left w:val="nil"/>
              <w:bottom w:val="nil"/>
              <w:right w:val="nil"/>
            </w:tcBorders>
            <w:tcMar>
              <w:top w:w="0" w:type="dxa"/>
              <w:left w:w="62" w:type="dxa"/>
              <w:bottom w:w="0" w:type="dxa"/>
              <w:right w:w="62" w:type="dxa"/>
            </w:tcMar>
          </w:tcPr>
          <w:p w:rsidR="00000000" w:rsidP="002A7CB2">
            <w:pPr>
              <w:pStyle w:val="BodyText"/>
              <w:rPr>
                <w:lang w:val="en-NZ"/>
              </w:rPr>
            </w:pPr>
            <w:r w:rsidRPr="002A7CB2">
              <w:t>Identify, and confirm with senior staff, all resources required for operation of monitoring system in the field</w:t>
            </w:r>
          </w:p>
        </w:tc>
      </w:tr>
      <w:tr w:rsidTr="002A7C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7CB2">
            <w:pPr>
              <w:pStyle w:val="BodyText"/>
              <w:rPr>
                <w:lang w:val="en-NZ"/>
              </w:rPr>
            </w:pPr>
            <w:r w:rsidRPr="002A7CB2">
              <w:t>3.2</w:t>
            </w:r>
          </w:p>
        </w:tc>
        <w:tc>
          <w:tcPr>
            <w:tcW w:w="5610" w:type="dxa"/>
            <w:tcBorders>
              <w:top w:val="nil"/>
              <w:left w:val="nil"/>
              <w:bottom w:val="nil"/>
              <w:right w:val="nil"/>
            </w:tcBorders>
            <w:tcMar>
              <w:top w:w="0" w:type="dxa"/>
              <w:left w:w="62" w:type="dxa"/>
              <w:bottom w:w="0" w:type="dxa"/>
              <w:right w:w="62" w:type="dxa"/>
            </w:tcMar>
          </w:tcPr>
          <w:p w:rsidR="00000000" w:rsidP="002A7CB2">
            <w:pPr>
              <w:pStyle w:val="BodyText"/>
              <w:rPr>
                <w:lang w:val="en-NZ"/>
              </w:rPr>
            </w:pPr>
            <w:r w:rsidRPr="002A7CB2">
              <w:t>Confirm that all safety, emergency and risk assessment requirements and data quality procedures have been correctly applied to the field activities</w:t>
            </w:r>
          </w:p>
        </w:tc>
      </w:tr>
      <w:tr w:rsidTr="002A7C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7CB2">
            <w:pPr>
              <w:pStyle w:val="BodyText"/>
              <w:rPr>
                <w:lang w:val="en-NZ"/>
              </w:rPr>
            </w:pPr>
            <w:r w:rsidRPr="002A7CB2">
              <w:t>3.3</w:t>
            </w:r>
          </w:p>
        </w:tc>
        <w:tc>
          <w:tcPr>
            <w:tcW w:w="5610" w:type="dxa"/>
            <w:tcBorders>
              <w:top w:val="nil"/>
              <w:left w:val="nil"/>
              <w:bottom w:val="nil"/>
              <w:right w:val="nil"/>
            </w:tcBorders>
            <w:tcMar>
              <w:top w:w="0" w:type="dxa"/>
              <w:left w:w="62" w:type="dxa"/>
              <w:bottom w:w="0" w:type="dxa"/>
              <w:right w:w="62" w:type="dxa"/>
            </w:tcMar>
          </w:tcPr>
          <w:p w:rsidR="00000000" w:rsidP="002A7CB2">
            <w:pPr>
              <w:pStyle w:val="BodyText"/>
              <w:rPr>
                <w:lang w:val="en-NZ"/>
              </w:rPr>
            </w:pPr>
            <w:r w:rsidRPr="002A7CB2">
              <w:t>Ensure correct packaging and transportation of equipment and instruments to defined field site</w:t>
            </w:r>
          </w:p>
        </w:tc>
      </w:tr>
      <w:tr w:rsidTr="002A7C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7CB2">
            <w:pPr>
              <w:pStyle w:val="BodyText"/>
              <w:rPr>
                <w:lang w:val="en-NZ"/>
              </w:rPr>
            </w:pPr>
            <w:r w:rsidRPr="002A7CB2">
              <w:t>3.4</w:t>
            </w:r>
          </w:p>
        </w:tc>
        <w:tc>
          <w:tcPr>
            <w:tcW w:w="5610" w:type="dxa"/>
            <w:tcBorders>
              <w:top w:val="nil"/>
              <w:left w:val="nil"/>
              <w:bottom w:val="nil"/>
              <w:right w:val="nil"/>
            </w:tcBorders>
            <w:tcMar>
              <w:top w:w="0" w:type="dxa"/>
              <w:left w:w="62" w:type="dxa"/>
              <w:bottom w:w="0" w:type="dxa"/>
              <w:right w:w="62" w:type="dxa"/>
            </w:tcMar>
          </w:tcPr>
          <w:p w:rsidR="00000000" w:rsidP="002A7CB2">
            <w:pPr>
              <w:pStyle w:val="BodyText"/>
              <w:rPr>
                <w:lang w:val="en-NZ"/>
              </w:rPr>
            </w:pPr>
            <w:r w:rsidRPr="002A7CB2">
              <w:t>Establish remote monitoring station</w:t>
            </w:r>
          </w:p>
        </w:tc>
      </w:tr>
      <w:tr w:rsidTr="002A7C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7CB2">
            <w:pPr>
              <w:pStyle w:val="BodyText"/>
              <w:rPr>
                <w:lang w:val="en-NZ"/>
              </w:rPr>
            </w:pPr>
            <w:r w:rsidRPr="002A7CB2">
              <w:t>3.5</w:t>
            </w:r>
          </w:p>
        </w:tc>
        <w:tc>
          <w:tcPr>
            <w:tcW w:w="5610" w:type="dxa"/>
            <w:tcBorders>
              <w:top w:val="nil"/>
              <w:left w:val="nil"/>
              <w:bottom w:val="nil"/>
              <w:right w:val="nil"/>
            </w:tcBorders>
            <w:tcMar>
              <w:top w:w="0" w:type="dxa"/>
              <w:left w:w="62" w:type="dxa"/>
              <w:bottom w:w="0" w:type="dxa"/>
              <w:right w:w="62" w:type="dxa"/>
            </w:tcMar>
          </w:tcPr>
          <w:p w:rsidR="00000000" w:rsidP="002A7CB2">
            <w:pPr>
              <w:pStyle w:val="BodyText"/>
              <w:rPr>
                <w:lang w:val="en-NZ"/>
              </w:rPr>
            </w:pPr>
            <w:r w:rsidRPr="002A7CB2">
              <w:t>Test operation of total system under field conditions</w:t>
            </w:r>
          </w:p>
        </w:tc>
      </w:tr>
      <w:tr w:rsidTr="002A7CB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A7CB2">
            <w:pPr>
              <w:pStyle w:val="BodyText"/>
              <w:rPr>
                <w:lang w:val="en-NZ"/>
              </w:rPr>
            </w:pPr>
          </w:p>
        </w:tc>
      </w:tr>
      <w:tr w:rsidTr="002A7C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A7CB2" w:rsidP="002A7CB2">
            <w:pPr>
              <w:pStyle w:val="BodyText"/>
            </w:pPr>
            <w:r w:rsidRPr="002A7CB2">
              <w:t>4</w:t>
            </w:r>
          </w:p>
        </w:tc>
        <w:tc>
          <w:tcPr>
            <w:tcW w:w="1962" w:type="dxa"/>
            <w:vMerge w:val="restart"/>
            <w:tcBorders>
              <w:top w:val="nil"/>
              <w:left w:val="nil"/>
              <w:bottom w:val="nil"/>
              <w:right w:val="nil"/>
            </w:tcBorders>
            <w:tcMar>
              <w:top w:w="0" w:type="dxa"/>
              <w:left w:w="62" w:type="dxa"/>
              <w:bottom w:w="0" w:type="dxa"/>
              <w:right w:w="62" w:type="dxa"/>
            </w:tcMar>
          </w:tcPr>
          <w:p w:rsidR="00000000" w:rsidP="002A7CB2">
            <w:pPr>
              <w:pStyle w:val="BodyText"/>
              <w:rPr>
                <w:lang w:val="en-NZ"/>
              </w:rPr>
            </w:pPr>
            <w:r w:rsidRPr="002A7CB2">
              <w:rPr>
                <w:rStyle w:val="SpecialBold"/>
              </w:rPr>
              <w:t>Operate and maintain monitoring site</w:t>
            </w:r>
          </w:p>
        </w:tc>
        <w:tc>
          <w:tcPr>
            <w:tcW w:w="770" w:type="dxa"/>
            <w:tcBorders>
              <w:top w:val="nil"/>
              <w:left w:val="nil"/>
              <w:bottom w:val="nil"/>
              <w:right w:val="nil"/>
            </w:tcBorders>
            <w:tcMar>
              <w:top w:w="0" w:type="dxa"/>
              <w:left w:w="62" w:type="dxa"/>
              <w:bottom w:w="0" w:type="dxa"/>
              <w:right w:w="62" w:type="dxa"/>
            </w:tcMar>
          </w:tcPr>
          <w:p w:rsidR="00000000" w:rsidP="002A7CB2">
            <w:pPr>
              <w:pStyle w:val="BodyText"/>
              <w:rPr>
                <w:lang w:val="en-NZ"/>
              </w:rPr>
            </w:pPr>
            <w:r w:rsidRPr="002A7CB2">
              <w:t>4.1</w:t>
            </w:r>
          </w:p>
        </w:tc>
        <w:tc>
          <w:tcPr>
            <w:tcW w:w="5610" w:type="dxa"/>
            <w:tcBorders>
              <w:top w:val="nil"/>
              <w:left w:val="nil"/>
              <w:bottom w:val="nil"/>
              <w:right w:val="nil"/>
            </w:tcBorders>
            <w:tcMar>
              <w:top w:w="0" w:type="dxa"/>
              <w:left w:w="62" w:type="dxa"/>
              <w:bottom w:w="0" w:type="dxa"/>
              <w:right w:w="62" w:type="dxa"/>
            </w:tcMar>
          </w:tcPr>
          <w:p w:rsidR="00000000" w:rsidP="002A7CB2">
            <w:pPr>
              <w:pStyle w:val="BodyText"/>
              <w:rPr>
                <w:lang w:val="en-NZ"/>
              </w:rPr>
            </w:pPr>
            <w:r w:rsidRPr="002A7CB2">
              <w:t>Undertake regular or emergency inspections of the site according to set procedures</w:t>
            </w:r>
          </w:p>
        </w:tc>
      </w:tr>
      <w:tr w:rsidTr="002A7C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7CB2">
            <w:pPr>
              <w:pStyle w:val="BodyText"/>
              <w:rPr>
                <w:lang w:val="en-NZ"/>
              </w:rPr>
            </w:pPr>
            <w:r w:rsidRPr="002A7CB2">
              <w:t>4.2</w:t>
            </w:r>
          </w:p>
        </w:tc>
        <w:tc>
          <w:tcPr>
            <w:tcW w:w="5610" w:type="dxa"/>
            <w:tcBorders>
              <w:top w:val="nil"/>
              <w:left w:val="nil"/>
              <w:bottom w:val="nil"/>
              <w:right w:val="nil"/>
            </w:tcBorders>
            <w:tcMar>
              <w:top w:w="0" w:type="dxa"/>
              <w:left w:w="62" w:type="dxa"/>
              <w:bottom w:w="0" w:type="dxa"/>
              <w:right w:w="62" w:type="dxa"/>
            </w:tcMar>
          </w:tcPr>
          <w:p w:rsidR="00000000" w:rsidP="002A7CB2">
            <w:pPr>
              <w:pStyle w:val="BodyText"/>
              <w:rPr>
                <w:lang w:val="en-NZ"/>
              </w:rPr>
            </w:pPr>
            <w:r w:rsidRPr="002A7CB2">
              <w:t>Undertake calibration checks according to written instructions</w:t>
            </w:r>
          </w:p>
        </w:tc>
      </w:tr>
      <w:tr w:rsidTr="002A7C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7CB2">
            <w:pPr>
              <w:pStyle w:val="BodyText"/>
              <w:rPr>
                <w:lang w:val="en-NZ"/>
              </w:rPr>
            </w:pPr>
            <w:r w:rsidRPr="002A7CB2">
              <w:t>4.3</w:t>
            </w:r>
          </w:p>
        </w:tc>
        <w:tc>
          <w:tcPr>
            <w:tcW w:w="5610" w:type="dxa"/>
            <w:tcBorders>
              <w:top w:val="nil"/>
              <w:left w:val="nil"/>
              <w:bottom w:val="nil"/>
              <w:right w:val="nil"/>
            </w:tcBorders>
            <w:tcMar>
              <w:top w:w="0" w:type="dxa"/>
              <w:left w:w="62" w:type="dxa"/>
              <w:bottom w:w="0" w:type="dxa"/>
              <w:right w:w="62" w:type="dxa"/>
            </w:tcMar>
          </w:tcPr>
          <w:p w:rsidR="00000000" w:rsidP="002A7CB2">
            <w:pPr>
              <w:pStyle w:val="BodyText"/>
              <w:rPr>
                <w:lang w:val="en-NZ"/>
              </w:rPr>
            </w:pPr>
            <w:r w:rsidRPr="002A7CB2">
              <w:t>Inspect and maintain all instruments, equipment and data systems and organise replacement of defective items</w:t>
            </w:r>
          </w:p>
        </w:tc>
      </w:tr>
      <w:tr w:rsidTr="002A7C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7CB2">
            <w:pPr>
              <w:pStyle w:val="BodyText"/>
              <w:rPr>
                <w:lang w:val="en-NZ"/>
              </w:rPr>
            </w:pPr>
            <w:r w:rsidRPr="002A7CB2">
              <w:t>4.4</w:t>
            </w:r>
          </w:p>
        </w:tc>
        <w:tc>
          <w:tcPr>
            <w:tcW w:w="5610" w:type="dxa"/>
            <w:tcBorders>
              <w:top w:val="nil"/>
              <w:left w:val="nil"/>
              <w:bottom w:val="nil"/>
              <w:right w:val="nil"/>
            </w:tcBorders>
            <w:tcMar>
              <w:top w:w="0" w:type="dxa"/>
              <w:left w:w="62" w:type="dxa"/>
              <w:bottom w:w="0" w:type="dxa"/>
              <w:right w:w="62" w:type="dxa"/>
            </w:tcMar>
          </w:tcPr>
          <w:p w:rsidR="00000000" w:rsidP="002A7CB2">
            <w:pPr>
              <w:pStyle w:val="BodyText"/>
              <w:rPr>
                <w:lang w:val="en-NZ"/>
              </w:rPr>
            </w:pPr>
            <w:r w:rsidRPr="002A7CB2">
              <w:t>Perform all field and laboratory activities safely and with minimal impact on the environment</w:t>
            </w:r>
          </w:p>
        </w:tc>
      </w:tr>
      <w:tr w:rsidTr="002A7C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7CB2">
            <w:pPr>
              <w:pStyle w:val="BodyText"/>
              <w:rPr>
                <w:lang w:val="en-NZ"/>
              </w:rPr>
            </w:pPr>
            <w:r w:rsidRPr="002A7CB2">
              <w:t>4.5</w:t>
            </w:r>
          </w:p>
        </w:tc>
        <w:tc>
          <w:tcPr>
            <w:tcW w:w="5610" w:type="dxa"/>
            <w:tcBorders>
              <w:top w:val="nil"/>
              <w:left w:val="nil"/>
              <w:bottom w:val="nil"/>
              <w:right w:val="nil"/>
            </w:tcBorders>
            <w:tcMar>
              <w:top w:w="0" w:type="dxa"/>
              <w:left w:w="62" w:type="dxa"/>
              <w:bottom w:w="0" w:type="dxa"/>
              <w:right w:w="62" w:type="dxa"/>
            </w:tcMar>
          </w:tcPr>
          <w:p w:rsidR="00000000" w:rsidP="002A7CB2">
            <w:pPr>
              <w:pStyle w:val="BodyText"/>
              <w:rPr>
                <w:lang w:val="en-NZ"/>
              </w:rPr>
            </w:pPr>
            <w:r w:rsidRPr="002A7CB2">
              <w:t>Document all site visits and associated actions</w:t>
            </w:r>
          </w:p>
        </w:tc>
      </w:tr>
      <w:tr w:rsidTr="002A7C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7CB2">
            <w:pPr>
              <w:pStyle w:val="BodyText"/>
              <w:rPr>
                <w:lang w:val="en-NZ"/>
              </w:rPr>
            </w:pPr>
            <w:r w:rsidRPr="002A7CB2">
              <w:t>4.6</w:t>
            </w:r>
          </w:p>
        </w:tc>
        <w:tc>
          <w:tcPr>
            <w:tcW w:w="5610" w:type="dxa"/>
            <w:tcBorders>
              <w:top w:val="nil"/>
              <w:left w:val="nil"/>
              <w:bottom w:val="nil"/>
              <w:right w:val="nil"/>
            </w:tcBorders>
            <w:tcMar>
              <w:top w:w="0" w:type="dxa"/>
              <w:left w:w="62" w:type="dxa"/>
              <w:bottom w:w="0" w:type="dxa"/>
              <w:right w:w="62" w:type="dxa"/>
            </w:tcMar>
          </w:tcPr>
          <w:p w:rsidR="00000000" w:rsidP="002A7CB2">
            <w:pPr>
              <w:pStyle w:val="BodyText"/>
              <w:rPr>
                <w:lang w:val="en-NZ"/>
              </w:rPr>
            </w:pPr>
            <w:r w:rsidRPr="002A7CB2">
              <w:t xml:space="preserve">Review the total monitoring activity on a regular basis and implement any required modifications or </w:t>
            </w:r>
            <w:r w:rsidRPr="002A7CB2">
              <w:t>improvements</w:t>
            </w:r>
          </w:p>
        </w:tc>
      </w:tr>
      <w:tr w:rsidTr="002A7CB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A7CB2">
            <w:pPr>
              <w:pStyle w:val="BodyText"/>
              <w:rPr>
                <w:lang w:val="en-NZ"/>
              </w:rPr>
            </w:pPr>
          </w:p>
        </w:tc>
      </w:tr>
      <w:tr w:rsidTr="002A7C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A7CB2" w:rsidP="002A7CB2">
            <w:pPr>
              <w:pStyle w:val="BodyText"/>
            </w:pPr>
            <w:r w:rsidRPr="002A7CB2">
              <w:t>5</w:t>
            </w:r>
          </w:p>
        </w:tc>
        <w:tc>
          <w:tcPr>
            <w:tcW w:w="1962" w:type="dxa"/>
            <w:vMerge w:val="restart"/>
            <w:tcBorders>
              <w:top w:val="nil"/>
              <w:left w:val="nil"/>
              <w:bottom w:val="nil"/>
              <w:right w:val="nil"/>
            </w:tcBorders>
            <w:tcMar>
              <w:top w:w="0" w:type="dxa"/>
              <w:left w:w="62" w:type="dxa"/>
              <w:bottom w:w="0" w:type="dxa"/>
              <w:right w:w="62" w:type="dxa"/>
            </w:tcMar>
          </w:tcPr>
          <w:p w:rsidR="00000000" w:rsidP="002A7CB2">
            <w:pPr>
              <w:pStyle w:val="BodyText"/>
              <w:rPr>
                <w:lang w:val="en-NZ"/>
              </w:rPr>
            </w:pPr>
            <w:r w:rsidRPr="002A7CB2">
              <w:rPr>
                <w:rStyle w:val="SpecialBold"/>
              </w:rPr>
              <w:t>Close down field monitoring activities</w:t>
            </w:r>
          </w:p>
        </w:tc>
        <w:tc>
          <w:tcPr>
            <w:tcW w:w="770" w:type="dxa"/>
            <w:tcBorders>
              <w:top w:val="nil"/>
              <w:left w:val="nil"/>
              <w:bottom w:val="nil"/>
              <w:right w:val="nil"/>
            </w:tcBorders>
            <w:tcMar>
              <w:top w:w="0" w:type="dxa"/>
              <w:left w:w="62" w:type="dxa"/>
              <w:bottom w:w="0" w:type="dxa"/>
              <w:right w:w="62" w:type="dxa"/>
            </w:tcMar>
          </w:tcPr>
          <w:p w:rsidR="00000000" w:rsidP="002A7CB2">
            <w:pPr>
              <w:pStyle w:val="BodyText"/>
              <w:rPr>
                <w:lang w:val="en-NZ"/>
              </w:rPr>
            </w:pPr>
            <w:r w:rsidRPr="002A7CB2">
              <w:t>5.1</w:t>
            </w:r>
          </w:p>
        </w:tc>
        <w:tc>
          <w:tcPr>
            <w:tcW w:w="5610" w:type="dxa"/>
            <w:tcBorders>
              <w:top w:val="nil"/>
              <w:left w:val="nil"/>
              <w:bottom w:val="nil"/>
              <w:right w:val="nil"/>
            </w:tcBorders>
            <w:tcMar>
              <w:top w:w="0" w:type="dxa"/>
              <w:left w:w="62" w:type="dxa"/>
              <w:bottom w:w="0" w:type="dxa"/>
              <w:right w:w="62" w:type="dxa"/>
            </w:tcMar>
          </w:tcPr>
          <w:p w:rsidR="00000000" w:rsidP="002A7CB2">
            <w:pPr>
              <w:pStyle w:val="BodyText"/>
              <w:rPr>
                <w:lang w:val="en-NZ"/>
              </w:rPr>
            </w:pPr>
            <w:r w:rsidRPr="002A7CB2">
              <w:t>Confirm decision to close down site and finalise all data requirements with supervising staff</w:t>
            </w:r>
          </w:p>
        </w:tc>
      </w:tr>
      <w:tr w:rsidTr="002A7C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7CB2">
            <w:pPr>
              <w:pStyle w:val="BodyText"/>
              <w:rPr>
                <w:lang w:val="en-NZ"/>
              </w:rPr>
            </w:pPr>
            <w:r w:rsidRPr="002A7CB2">
              <w:t>5.2</w:t>
            </w:r>
          </w:p>
        </w:tc>
        <w:tc>
          <w:tcPr>
            <w:tcW w:w="5610" w:type="dxa"/>
            <w:tcBorders>
              <w:top w:val="nil"/>
              <w:left w:val="nil"/>
              <w:bottom w:val="nil"/>
              <w:right w:val="nil"/>
            </w:tcBorders>
            <w:tcMar>
              <w:top w:w="0" w:type="dxa"/>
              <w:left w:w="62" w:type="dxa"/>
              <w:bottom w:w="0" w:type="dxa"/>
              <w:right w:w="62" w:type="dxa"/>
            </w:tcMar>
          </w:tcPr>
          <w:p w:rsidR="00000000" w:rsidP="002A7CB2">
            <w:pPr>
              <w:pStyle w:val="BodyText"/>
              <w:rPr>
                <w:lang w:val="en-NZ"/>
              </w:rPr>
            </w:pPr>
            <w:r w:rsidRPr="002A7CB2">
              <w:t>Dismantle monitori</w:t>
            </w:r>
            <w:r w:rsidRPr="002A7CB2">
              <w:t>ng system and arrange checking, packaging and transportation of all equipment and instruments back to base</w:t>
            </w:r>
          </w:p>
        </w:tc>
      </w:tr>
      <w:tr w:rsidTr="002A7C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7CB2">
            <w:pPr>
              <w:pStyle w:val="BodyText"/>
              <w:rPr>
                <w:lang w:val="en-NZ"/>
              </w:rPr>
            </w:pPr>
            <w:r w:rsidRPr="002A7CB2">
              <w:t>5.3</w:t>
            </w:r>
          </w:p>
        </w:tc>
        <w:tc>
          <w:tcPr>
            <w:tcW w:w="5610" w:type="dxa"/>
            <w:tcBorders>
              <w:top w:val="nil"/>
              <w:left w:val="nil"/>
              <w:bottom w:val="nil"/>
              <w:right w:val="nil"/>
            </w:tcBorders>
            <w:tcMar>
              <w:top w:w="0" w:type="dxa"/>
              <w:left w:w="62" w:type="dxa"/>
              <w:bottom w:w="0" w:type="dxa"/>
              <w:right w:w="62" w:type="dxa"/>
            </w:tcMar>
          </w:tcPr>
          <w:p w:rsidR="00000000" w:rsidP="002A7CB2">
            <w:pPr>
              <w:pStyle w:val="BodyText"/>
              <w:rPr>
                <w:lang w:val="en-NZ"/>
              </w:rPr>
            </w:pPr>
            <w:r w:rsidRPr="002A7CB2">
              <w:t>Close down site in accordance with workplace and environmental requirements</w:t>
            </w:r>
          </w:p>
        </w:tc>
      </w:tr>
      <w:tr w:rsidTr="002A7C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7CB2">
            <w:pPr>
              <w:pStyle w:val="BodyText"/>
              <w:rPr>
                <w:lang w:val="en-NZ"/>
              </w:rPr>
            </w:pPr>
            <w:r w:rsidRPr="002A7CB2">
              <w:t>5.4</w:t>
            </w:r>
          </w:p>
        </w:tc>
        <w:tc>
          <w:tcPr>
            <w:tcW w:w="5610" w:type="dxa"/>
            <w:tcBorders>
              <w:top w:val="nil"/>
              <w:left w:val="nil"/>
              <w:bottom w:val="nil"/>
              <w:right w:val="nil"/>
            </w:tcBorders>
            <w:tcMar>
              <w:top w:w="0" w:type="dxa"/>
              <w:left w:w="62" w:type="dxa"/>
              <w:bottom w:w="0" w:type="dxa"/>
              <w:right w:w="62" w:type="dxa"/>
            </w:tcMar>
          </w:tcPr>
          <w:p w:rsidR="00000000" w:rsidP="002A7CB2">
            <w:pPr>
              <w:pStyle w:val="BodyText"/>
              <w:rPr>
                <w:lang w:val="en-NZ"/>
              </w:rPr>
            </w:pPr>
            <w:r w:rsidRPr="002A7CB2">
              <w:t>Hand back site and inform all relevant authorities</w:t>
            </w:r>
          </w:p>
        </w:tc>
      </w:tr>
      <w:tr w:rsidTr="002A7C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7CB2">
            <w:pPr>
              <w:pStyle w:val="BodyText"/>
              <w:rPr>
                <w:lang w:val="en-NZ"/>
              </w:rPr>
            </w:pPr>
            <w:r w:rsidRPr="002A7CB2">
              <w:t>5.5</w:t>
            </w:r>
          </w:p>
        </w:tc>
        <w:tc>
          <w:tcPr>
            <w:tcW w:w="5610" w:type="dxa"/>
            <w:tcBorders>
              <w:top w:val="nil"/>
              <w:left w:val="nil"/>
              <w:bottom w:val="nil"/>
              <w:right w:val="nil"/>
            </w:tcBorders>
            <w:tcMar>
              <w:top w:w="0" w:type="dxa"/>
              <w:left w:w="62" w:type="dxa"/>
              <w:bottom w:w="0" w:type="dxa"/>
              <w:right w:w="62" w:type="dxa"/>
            </w:tcMar>
          </w:tcPr>
          <w:p w:rsidR="00000000" w:rsidP="002A7CB2">
            <w:pPr>
              <w:pStyle w:val="BodyText"/>
              <w:rPr>
                <w:lang w:val="en-NZ"/>
              </w:rPr>
            </w:pPr>
            <w:r w:rsidRPr="002A7CB2">
              <w:t>Test, decontaminate, if required, and store all equipment appropriately</w:t>
            </w:r>
          </w:p>
        </w:tc>
      </w:tr>
      <w:tr w:rsidTr="002A7C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7CB2">
            <w:pPr>
              <w:pStyle w:val="BodyText"/>
              <w:rPr>
                <w:lang w:val="en-NZ"/>
              </w:rPr>
            </w:pPr>
            <w:r w:rsidRPr="002A7CB2">
              <w:t>5.6</w:t>
            </w:r>
          </w:p>
        </w:tc>
        <w:tc>
          <w:tcPr>
            <w:tcW w:w="5610" w:type="dxa"/>
            <w:tcBorders>
              <w:top w:val="nil"/>
              <w:left w:val="nil"/>
              <w:bottom w:val="nil"/>
              <w:right w:val="nil"/>
            </w:tcBorders>
            <w:tcMar>
              <w:top w:w="0" w:type="dxa"/>
              <w:left w:w="62" w:type="dxa"/>
              <w:bottom w:w="0" w:type="dxa"/>
              <w:right w:w="62" w:type="dxa"/>
            </w:tcMar>
          </w:tcPr>
          <w:p w:rsidR="00000000" w:rsidRPr="002A7CB2" w:rsidP="002A7CB2">
            <w:pPr>
              <w:pStyle w:val="BodyText"/>
            </w:pPr>
            <w:r w:rsidRPr="002A7CB2">
              <w:t>Document all close-down actions</w:t>
            </w:r>
          </w:p>
        </w:tc>
      </w:tr>
    </w:tbl>
    <w:p w:rsidR="00000000" w:rsidRPr="002A7CB2" w:rsidP="002A7CB2">
      <w:pPr>
        <w:pStyle w:val="BodyText"/>
      </w:pPr>
    </w:p>
    <w:p w:rsidR="00000000" w:rsidRPr="002A7CB2" w:rsidP="002A7CB2">
      <w:pPr>
        <w:pStyle w:val="AllowPageBreak"/>
      </w:pPr>
    </w:p>
    <w:p w:rsidR="00000000" w:rsidRPr="002A7CB2" w:rsidP="002A7CB2">
      <w:pPr>
        <w:pStyle w:val="Heading1"/>
      </w:pPr>
      <w:bookmarkStart w:id="7" w:name="O_899548"/>
      <w:bookmarkEnd w:id="7"/>
      <w:r w:rsidRPr="002A7CB2">
        <w:t>Foundation Skills</w:t>
      </w:r>
    </w:p>
    <w:p w:rsidR="00000000" w:rsidRPr="002A7CB2" w:rsidP="00AA6CA9">
      <w:pPr>
        <w:pStyle w:val="BodyText"/>
      </w:pPr>
      <w:r w:rsidRPr="002A7CB2">
        <w:t>This section describes those language, literacy, numeracy and employment skills that are essential to performance.</w:t>
      </w:r>
    </w:p>
    <w:p w:rsidR="00000000" w:rsidRPr="002A7CB2" w:rsidP="00AA6CA9">
      <w:pPr>
        <w:pStyle w:val="BodyText"/>
      </w:pPr>
      <w:r w:rsidRPr="002A7CB2">
        <w:t>Foundation skills essential to performance are explicit in the performance criteria of this unit of competency.</w:t>
      </w:r>
    </w:p>
    <w:p w:rsidR="00000000" w:rsidRPr="002A7CB2" w:rsidP="002A7CB2">
      <w:pPr>
        <w:pStyle w:val="Heading1"/>
      </w:pPr>
      <w:bookmarkStart w:id="8" w:name="O_899547"/>
      <w:bookmarkEnd w:id="8"/>
      <w:r w:rsidRPr="002A7CB2">
        <w:t>Range of Co</w:t>
      </w:r>
      <w:r w:rsidRPr="002A7CB2">
        <w:t>nditions</w:t>
      </w:r>
    </w:p>
    <w:tbl>
      <w:tblPr>
        <w:tblW w:w="0" w:type="auto"/>
        <w:tblCellMar>
          <w:left w:w="62" w:type="dxa"/>
          <w:right w:w="62" w:type="dxa"/>
        </w:tblCellMar>
        <w:tblLook w:val="0000"/>
      </w:tblPr>
      <w:tblGrid>
        <w:gridCol w:w="2163"/>
        <w:gridCol w:w="7033"/>
      </w:tblGrid>
      <w:tr w:rsidTr="00AA6CA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A7CB2">
            <w:pPr>
              <w:pStyle w:val="BodyText"/>
              <w:rPr>
                <w:lang w:val="en-NZ"/>
              </w:rPr>
            </w:pPr>
            <w:r w:rsidRPr="002A7CB2">
              <w:t>This field allows for different work environments and conditions that may affect performance. Essential operating conditions that may be present (depending on the work situation, needs of the candidate, accessibility of the item, and local industr</w:t>
            </w:r>
            <w:r w:rsidRPr="002A7CB2">
              <w:t>y and regional contexts) are included.</w:t>
            </w:r>
          </w:p>
        </w:tc>
      </w:tr>
      <w:tr w:rsidTr="00AA6C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7CB2">
            <w:pPr>
              <w:pStyle w:val="BodyText"/>
              <w:rPr>
                <w:lang w:val="en-NZ"/>
              </w:rPr>
            </w:pPr>
            <w:r w:rsidRPr="002A7CB2">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2A7CB2" w:rsidP="002A7CB2">
            <w:pPr>
              <w:pStyle w:val="BodyText"/>
            </w:pPr>
            <w:r w:rsidRPr="002A7CB2">
              <w:t>Standards, codes, procedures and/or workplace requirements include the latest version of one or more of:</w:t>
            </w:r>
          </w:p>
          <w:p w:rsidR="00000000" w:rsidRPr="002A7CB2" w:rsidP="002A7CB2">
            <w:pPr>
              <w:pStyle w:val="ListBullet"/>
            </w:pPr>
            <w:r w:rsidRPr="002A7CB2">
              <w:t>Australian and international standards covering t</w:t>
            </w:r>
            <w:r w:rsidRPr="002A7CB2">
              <w:t>he requirements for the competence of testing and calibration laboratories, laboratory safety and occupational clothing, quality management, environmental management and transport emergency procedures</w:t>
            </w:r>
          </w:p>
          <w:p w:rsidR="00000000" w:rsidRPr="002A7CB2" w:rsidP="002A7CB2">
            <w:pPr>
              <w:pStyle w:val="ListBullet"/>
            </w:pPr>
            <w:r w:rsidRPr="002A7CB2">
              <w:t>national work health and safety (WHS) standards and codes of practice, national measurement regulations and guidelines, and national environment protection measures</w:t>
            </w:r>
          </w:p>
          <w:p w:rsidR="00000000" w:rsidRPr="002A7CB2" w:rsidP="002A7CB2">
            <w:pPr>
              <w:pStyle w:val="ListBullet"/>
            </w:pPr>
            <w:r w:rsidRPr="002A7CB2">
              <w:t>specific codes, guidelines, procedures and methods, such as the principles of good laborato</w:t>
            </w:r>
            <w:r w:rsidRPr="002A7CB2">
              <w:t>ry practice (GLP), Australian Dangerous Goods Code, Australian Radiation Protection and Nuclear Safety Agency (ARPANSA) Codes of Practice; and Government policies, such as sustainable development and impact assessment</w:t>
            </w:r>
          </w:p>
          <w:p w:rsidR="00000000" w:rsidRPr="002A7CB2" w:rsidP="002A7CB2">
            <w:pPr>
              <w:pStyle w:val="ListBullet"/>
            </w:pPr>
            <w:r w:rsidRPr="002A7CB2">
              <w:t xml:space="preserve">workplace documents, such as standard </w:t>
            </w:r>
            <w:r w:rsidRPr="002A7CB2">
              <w:t>operating procedures (SOPs); quality and equipment manuals; instrument fault-finding procedures; calibration and maintenance schedules; material safety data sheets (MSDS) and safety procedures; incident/accident/injury report forms; laboratory schedules; w</w:t>
            </w:r>
            <w:r w:rsidRPr="002A7CB2">
              <w:t>orkplace recording and reporting procedures; field protocols, procedures, note books and log books; and waste minimisation and safe disposal procedures</w:t>
            </w:r>
          </w:p>
          <w:p w:rsidR="00000000" w:rsidRPr="002A7CB2" w:rsidP="002A7CB2">
            <w:pPr>
              <w:pStyle w:val="ListBullet"/>
            </w:pPr>
            <w:r w:rsidRPr="002A7CB2">
              <w:t>standard methods for sampling, remote-sensing/monitoring protocols, data quality procedures and site-spe</w:t>
            </w:r>
            <w:r w:rsidRPr="002A7CB2">
              <w:t>cific requirements</w:t>
            </w:r>
          </w:p>
          <w:p w:rsidR="00000000" w:rsidP="002A7CB2">
            <w:pPr>
              <w:pStyle w:val="BodyText"/>
              <w:rPr>
                <w:lang w:val="en-NZ"/>
              </w:rPr>
            </w:pPr>
          </w:p>
        </w:tc>
      </w:tr>
      <w:tr w:rsidTr="00AA6C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7CB2">
            <w:pPr>
              <w:pStyle w:val="BodyText"/>
              <w:rPr>
                <w:lang w:val="en-NZ"/>
              </w:rPr>
            </w:pPr>
            <w:r w:rsidRPr="002A7CB2">
              <w:rPr>
                <w:rStyle w:val="SpecialBold"/>
              </w:rPr>
              <w:t xml:space="preserve">Remote-sensing monitoring activities </w:t>
            </w:r>
          </w:p>
        </w:tc>
        <w:tc>
          <w:tcPr>
            <w:tcW w:w="0" w:type="auto"/>
            <w:tcBorders>
              <w:top w:val="nil"/>
              <w:left w:val="nil"/>
              <w:bottom w:val="nil"/>
              <w:right w:val="nil"/>
            </w:tcBorders>
            <w:tcMar>
              <w:top w:w="0" w:type="dxa"/>
              <w:left w:w="62" w:type="dxa"/>
              <w:bottom w:w="0" w:type="dxa"/>
              <w:right w:w="62" w:type="dxa"/>
            </w:tcMar>
          </w:tcPr>
          <w:p w:rsidR="00000000" w:rsidRPr="002A7CB2" w:rsidP="002A7CB2">
            <w:pPr>
              <w:pStyle w:val="BodyText"/>
            </w:pPr>
            <w:r w:rsidRPr="002A7CB2">
              <w:t>Remote-sensing monitoring activities include, but are not limited to, one or more of:</w:t>
            </w:r>
          </w:p>
          <w:p w:rsidR="00000000" w:rsidRPr="002A7CB2" w:rsidP="002A7CB2">
            <w:pPr>
              <w:pStyle w:val="ListBullet"/>
            </w:pPr>
            <w:r w:rsidRPr="002A7CB2">
              <w:t>meteorology (e.g. temperature, humidity and wind)</w:t>
            </w:r>
          </w:p>
          <w:p w:rsidR="00000000" w:rsidRPr="002A7CB2" w:rsidP="002A7CB2">
            <w:pPr>
              <w:pStyle w:val="ListBullet"/>
            </w:pPr>
            <w:r w:rsidRPr="002A7CB2">
              <w:t>geology/mining (e.g. movement of structures, vibration and b</w:t>
            </w:r>
            <w:r w:rsidRPr="002A7CB2">
              <w:t xml:space="preserve">last shock waves) </w:t>
            </w:r>
          </w:p>
          <w:p w:rsidR="00000000" w:rsidRPr="002A7CB2" w:rsidP="002A7CB2">
            <w:pPr>
              <w:pStyle w:val="ListBullet"/>
            </w:pPr>
            <w:r w:rsidRPr="002A7CB2">
              <w:t>hydrology (e.g. water flow and water depth in catchment)</w:t>
            </w:r>
          </w:p>
          <w:p w:rsidR="00000000" w:rsidRPr="002A7CB2" w:rsidP="002A7CB2">
            <w:pPr>
              <w:pStyle w:val="ListBullet"/>
            </w:pPr>
            <w:r w:rsidRPr="002A7CB2">
              <w:t>environmental (e.g. air quality, water quality and noise)</w:t>
            </w:r>
          </w:p>
          <w:p w:rsidR="00000000" w:rsidRPr="002A7CB2" w:rsidP="002A7CB2">
            <w:pPr>
              <w:pStyle w:val="ListBullet"/>
            </w:pPr>
            <w:r w:rsidRPr="002A7CB2">
              <w:t>civil engineering (e.g. temperature, displacement and/or hydrostatic pressure on structures and movement of ions in struct</w:t>
            </w:r>
            <w:r w:rsidRPr="002A7CB2">
              <w:t>ures)</w:t>
            </w:r>
          </w:p>
          <w:p w:rsidR="00000000" w:rsidP="002A7CB2">
            <w:pPr>
              <w:pStyle w:val="BodyText"/>
              <w:rPr>
                <w:lang w:val="en-NZ"/>
              </w:rPr>
            </w:pPr>
          </w:p>
        </w:tc>
      </w:tr>
      <w:tr w:rsidTr="00AA6C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7CB2">
            <w:pPr>
              <w:pStyle w:val="BodyText"/>
              <w:rPr>
                <w:lang w:val="en-NZ"/>
              </w:rPr>
            </w:pPr>
            <w:r w:rsidRPr="002A7CB2">
              <w:rPr>
                <w:rStyle w:val="SpecialBold"/>
              </w:rPr>
              <w:t xml:space="preserve">Instruments and equipment </w:t>
            </w:r>
          </w:p>
        </w:tc>
        <w:tc>
          <w:tcPr>
            <w:tcW w:w="0" w:type="auto"/>
            <w:tcBorders>
              <w:top w:val="nil"/>
              <w:left w:val="nil"/>
              <w:bottom w:val="nil"/>
              <w:right w:val="nil"/>
            </w:tcBorders>
            <w:tcMar>
              <w:top w:w="0" w:type="dxa"/>
              <w:left w:w="62" w:type="dxa"/>
              <w:bottom w:w="0" w:type="dxa"/>
              <w:right w:w="62" w:type="dxa"/>
            </w:tcMar>
          </w:tcPr>
          <w:p w:rsidR="00000000" w:rsidRPr="002A7CB2" w:rsidP="002A7CB2">
            <w:pPr>
              <w:pStyle w:val="BodyText"/>
            </w:pPr>
            <w:r w:rsidRPr="002A7CB2">
              <w:t>Instruments and equipment include, but are not limited to, one or more of:</w:t>
            </w:r>
          </w:p>
          <w:p w:rsidR="00000000" w:rsidRPr="002A7CB2" w:rsidP="002A7CB2">
            <w:pPr>
              <w:pStyle w:val="ListBullet"/>
            </w:pPr>
            <w:r w:rsidRPr="002A7CB2">
              <w:t>navigation and communication equipment, such as compass, maps, global positioning system (GPS), two-way radio and mobile phone</w:t>
            </w:r>
          </w:p>
          <w:p w:rsidR="00000000" w:rsidRPr="002A7CB2" w:rsidP="002A7CB2">
            <w:pPr>
              <w:pStyle w:val="ListBullet"/>
            </w:pPr>
            <w:r w:rsidRPr="002A7CB2">
              <w:t>sampling and autosampling equipment for air, water, stormwater, wastewater and sewage</w:t>
            </w:r>
          </w:p>
          <w:p w:rsidR="00000000" w:rsidRPr="002A7CB2" w:rsidP="002A7CB2">
            <w:pPr>
              <w:pStyle w:val="ListBullet"/>
            </w:pPr>
            <w:r w:rsidRPr="002A7CB2">
              <w:t>instruments that measure air pollutants, such as oxides of carbon, oxides of sulphur, oxides of nitrogen, hydrocarbons and particulates (PM10, PM2.5 total suspended), and</w:t>
            </w:r>
            <w:r w:rsidRPr="002A7CB2">
              <w:t xml:space="preserve"> ozone</w:t>
            </w:r>
          </w:p>
          <w:p w:rsidR="00000000" w:rsidRPr="002A7CB2" w:rsidP="002A7CB2">
            <w:pPr>
              <w:pStyle w:val="ListBullet"/>
            </w:pPr>
            <w:r w:rsidRPr="002A7CB2">
              <w:t>instruments that measure water quantity and/or hydrological parameters, such as flow, dissolved oxygen (DO), electrical conductivity, pH, turbidity, nitrates, phosphates and temperature</w:t>
            </w:r>
          </w:p>
          <w:p w:rsidR="00000000" w:rsidRPr="002A7CB2" w:rsidP="002A7CB2">
            <w:pPr>
              <w:pStyle w:val="ListBullet"/>
            </w:pPr>
            <w:r w:rsidRPr="002A7CB2">
              <w:t>instruments that measure meteorological parameters, such as pre</w:t>
            </w:r>
            <w:r w:rsidRPr="002A7CB2">
              <w:t>ssure, minimum and maximum temperature, wet and dry bulb temperatures, humidity, rainfall, and wind speed and direction</w:t>
            </w:r>
          </w:p>
          <w:p w:rsidR="00000000" w:rsidRPr="002A7CB2" w:rsidP="002A7CB2">
            <w:pPr>
              <w:pStyle w:val="ListBullet"/>
            </w:pPr>
            <w:r w:rsidRPr="002A7CB2">
              <w:t>instruments that measure sound pressure levels, such as noise or sound pressure meter</w:t>
            </w:r>
          </w:p>
          <w:p w:rsidR="00000000" w:rsidRPr="002A7CB2" w:rsidP="002A7CB2">
            <w:pPr>
              <w:pStyle w:val="ListBullet"/>
            </w:pPr>
            <w:r w:rsidRPr="002A7CB2">
              <w:t>instruments that measure displacement or durabilit</w:t>
            </w:r>
            <w:r w:rsidRPr="002A7CB2">
              <w:t>y of civil engineering structures and consolidation, such as load cells, inclinometers, pieziometers, strain gauges and accelerometers</w:t>
            </w:r>
          </w:p>
          <w:p w:rsidR="00000000" w:rsidP="002A7CB2">
            <w:pPr>
              <w:pStyle w:val="BodyText"/>
              <w:rPr>
                <w:lang w:val="en-NZ"/>
              </w:rPr>
            </w:pPr>
          </w:p>
        </w:tc>
      </w:tr>
      <w:tr w:rsidTr="00AA6C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7CB2">
            <w:pPr>
              <w:pStyle w:val="BodyText"/>
              <w:rPr>
                <w:lang w:val="en-NZ"/>
              </w:rPr>
            </w:pPr>
            <w:r w:rsidRPr="002A7CB2">
              <w:rPr>
                <w:rStyle w:val="SpecialBold"/>
              </w:rPr>
              <w:t xml:space="preserve">Communication and consultation strategies </w:t>
            </w:r>
          </w:p>
        </w:tc>
        <w:tc>
          <w:tcPr>
            <w:tcW w:w="0" w:type="auto"/>
            <w:tcBorders>
              <w:top w:val="nil"/>
              <w:left w:val="nil"/>
              <w:bottom w:val="nil"/>
              <w:right w:val="nil"/>
            </w:tcBorders>
            <w:tcMar>
              <w:top w:w="0" w:type="dxa"/>
              <w:left w:w="62" w:type="dxa"/>
              <w:bottom w:w="0" w:type="dxa"/>
              <w:right w:w="62" w:type="dxa"/>
            </w:tcMar>
          </w:tcPr>
          <w:p w:rsidR="00000000" w:rsidRPr="002A7CB2" w:rsidP="002A7CB2">
            <w:pPr>
              <w:pStyle w:val="BodyText"/>
            </w:pPr>
            <w:r w:rsidRPr="002A7CB2">
              <w:t xml:space="preserve">Communication and consultation strategies include: </w:t>
            </w:r>
          </w:p>
          <w:p w:rsidR="00000000" w:rsidRPr="002A7CB2" w:rsidP="002A7CB2">
            <w:pPr>
              <w:pStyle w:val="ListBullet"/>
            </w:pPr>
            <w:r w:rsidRPr="002A7CB2">
              <w:t>face-to-face and/or telephone conversations</w:t>
            </w:r>
          </w:p>
          <w:p w:rsidR="00000000" w:rsidRPr="002A7CB2" w:rsidP="002A7CB2">
            <w:pPr>
              <w:pStyle w:val="ListBullet"/>
            </w:pPr>
            <w:r w:rsidRPr="002A7CB2">
              <w:t>meetings and written documents</w:t>
            </w:r>
          </w:p>
          <w:p w:rsidR="00000000" w:rsidP="002A7CB2">
            <w:pPr>
              <w:pStyle w:val="ListBullet"/>
              <w:rPr>
                <w:lang w:val="en-NZ"/>
              </w:rPr>
            </w:pPr>
          </w:p>
        </w:tc>
      </w:tr>
      <w:tr w:rsidTr="00AA6C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7CB2">
            <w:pPr>
              <w:pStyle w:val="BodyText"/>
              <w:rPr>
                <w:lang w:val="en-NZ"/>
              </w:rPr>
            </w:pPr>
            <w:r w:rsidRPr="002A7CB2">
              <w:rPr>
                <w:rStyle w:val="SpecialBold"/>
              </w:rPr>
              <w:t xml:space="preserve">Purpose of field monitoring activities </w:t>
            </w:r>
          </w:p>
        </w:tc>
        <w:tc>
          <w:tcPr>
            <w:tcW w:w="0" w:type="auto"/>
            <w:tcBorders>
              <w:top w:val="nil"/>
              <w:left w:val="nil"/>
              <w:bottom w:val="nil"/>
              <w:right w:val="nil"/>
            </w:tcBorders>
            <w:tcMar>
              <w:top w:w="0" w:type="dxa"/>
              <w:left w:w="62" w:type="dxa"/>
              <w:bottom w:w="0" w:type="dxa"/>
              <w:right w:w="62" w:type="dxa"/>
            </w:tcMar>
          </w:tcPr>
          <w:p w:rsidR="00000000" w:rsidRPr="002A7CB2" w:rsidP="002A7CB2">
            <w:pPr>
              <w:pStyle w:val="BodyText"/>
            </w:pPr>
            <w:r w:rsidRPr="002A7CB2">
              <w:t>Purposes of field monitoring activities include, but are not limited to, one or more of:</w:t>
            </w:r>
          </w:p>
          <w:p w:rsidR="00000000" w:rsidRPr="002A7CB2" w:rsidP="002A7CB2">
            <w:pPr>
              <w:pStyle w:val="ListBullet"/>
            </w:pPr>
            <w:r w:rsidRPr="002A7CB2">
              <w:t>single or multiple site monitoring</w:t>
            </w:r>
          </w:p>
          <w:p w:rsidR="00000000" w:rsidRPr="002A7CB2" w:rsidP="002A7CB2">
            <w:pPr>
              <w:pStyle w:val="ListBullet"/>
            </w:pPr>
            <w:r w:rsidRPr="002A7CB2">
              <w:t>component of w</w:t>
            </w:r>
            <w:r w:rsidRPr="002A7CB2">
              <w:t>orkplace environmental management plan</w:t>
            </w:r>
          </w:p>
          <w:p w:rsidR="00000000" w:rsidRPr="002A7CB2" w:rsidP="002A7CB2">
            <w:pPr>
              <w:pStyle w:val="ListBullet"/>
            </w:pPr>
            <w:r w:rsidRPr="002A7CB2">
              <w:t>remote-sensing monitoring of physical/chemical and mechanical/geotechnical parameters</w:t>
            </w:r>
          </w:p>
          <w:p w:rsidR="00000000" w:rsidRPr="002A7CB2" w:rsidP="002A7CB2">
            <w:pPr>
              <w:pStyle w:val="ListBullet"/>
            </w:pPr>
            <w:r w:rsidRPr="002A7CB2">
              <w:t>monitoring of consolidation of soils and foundations</w:t>
            </w:r>
          </w:p>
          <w:p w:rsidR="00000000" w:rsidRPr="002A7CB2" w:rsidP="002A7CB2">
            <w:pPr>
              <w:pStyle w:val="ListBullet"/>
            </w:pPr>
            <w:r w:rsidRPr="002A7CB2">
              <w:t>monitoring the durability of structures (e.g. roads)</w:t>
            </w:r>
          </w:p>
          <w:p w:rsidR="00000000" w:rsidRPr="002A7CB2" w:rsidP="002A7CB2">
            <w:pPr>
              <w:pStyle w:val="ListBullet"/>
            </w:pPr>
            <w:r w:rsidRPr="002A7CB2">
              <w:t>requirement to comply wit</w:t>
            </w:r>
            <w:r w:rsidRPr="002A7CB2">
              <w:t>h statutory requirements</w:t>
            </w:r>
          </w:p>
          <w:p w:rsidR="00000000" w:rsidRPr="002A7CB2" w:rsidP="002A7CB2">
            <w:pPr>
              <w:pStyle w:val="ListBullet"/>
            </w:pPr>
            <w:r w:rsidRPr="002A7CB2">
              <w:t>requirement to comply with industry sampling/monitoring protocols/codes of practice</w:t>
            </w:r>
          </w:p>
          <w:p w:rsidR="00000000" w:rsidP="002A7CB2">
            <w:pPr>
              <w:pStyle w:val="BodyText"/>
              <w:rPr>
                <w:lang w:val="en-NZ"/>
              </w:rPr>
            </w:pPr>
          </w:p>
        </w:tc>
      </w:tr>
      <w:tr w:rsidTr="00AA6C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7CB2">
            <w:pPr>
              <w:pStyle w:val="BodyText"/>
              <w:rPr>
                <w:lang w:val="en-NZ"/>
              </w:rPr>
            </w:pPr>
            <w:r w:rsidRPr="002A7CB2">
              <w:rPr>
                <w:rStyle w:val="SpecialBold"/>
              </w:rPr>
              <w:t xml:space="preserve">Administrative requirements and appropriate approvals </w:t>
            </w:r>
          </w:p>
        </w:tc>
        <w:tc>
          <w:tcPr>
            <w:tcW w:w="0" w:type="auto"/>
            <w:tcBorders>
              <w:top w:val="nil"/>
              <w:left w:val="nil"/>
              <w:bottom w:val="nil"/>
              <w:right w:val="nil"/>
            </w:tcBorders>
            <w:tcMar>
              <w:top w:w="0" w:type="dxa"/>
              <w:left w:w="62" w:type="dxa"/>
              <w:bottom w:w="0" w:type="dxa"/>
              <w:right w:w="62" w:type="dxa"/>
            </w:tcMar>
          </w:tcPr>
          <w:p w:rsidR="00000000" w:rsidRPr="002A7CB2" w:rsidP="002A7CB2">
            <w:pPr>
              <w:pStyle w:val="BodyText"/>
            </w:pPr>
            <w:r w:rsidRPr="002A7CB2">
              <w:t xml:space="preserve">Administrative requirements and appropriate approvals include, but are not limited to, one or more of: </w:t>
            </w:r>
          </w:p>
          <w:p w:rsidR="00000000" w:rsidRPr="002A7CB2" w:rsidP="002A7CB2">
            <w:pPr>
              <w:pStyle w:val="ListBullet"/>
            </w:pPr>
            <w:r w:rsidRPr="002A7CB2">
              <w:t>travel requisitions</w:t>
            </w:r>
          </w:p>
          <w:p w:rsidR="00000000" w:rsidRPr="002A7CB2" w:rsidP="002A7CB2">
            <w:pPr>
              <w:pStyle w:val="ListBullet"/>
            </w:pPr>
            <w:r w:rsidRPr="002A7CB2">
              <w:t>authority for use of vehicles and equipment</w:t>
            </w:r>
          </w:p>
          <w:p w:rsidR="00000000" w:rsidRPr="002A7CB2" w:rsidP="002A7CB2">
            <w:pPr>
              <w:pStyle w:val="ListBullet"/>
            </w:pPr>
            <w:r w:rsidRPr="002A7CB2">
              <w:t xml:space="preserve">permits </w:t>
            </w:r>
          </w:p>
          <w:p w:rsidR="00000000" w:rsidRPr="002A7CB2" w:rsidP="002A7CB2">
            <w:pPr>
              <w:pStyle w:val="ListBullet"/>
            </w:pPr>
            <w:r w:rsidRPr="002A7CB2">
              <w:t>insurance</w:t>
            </w:r>
          </w:p>
          <w:p w:rsidR="00000000" w:rsidP="002A7CB2">
            <w:pPr>
              <w:pStyle w:val="BodyText"/>
              <w:rPr>
                <w:lang w:val="en-NZ"/>
              </w:rPr>
            </w:pPr>
          </w:p>
        </w:tc>
      </w:tr>
      <w:tr w:rsidTr="00AA6C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7CB2">
            <w:pPr>
              <w:pStyle w:val="BodyText"/>
              <w:rPr>
                <w:lang w:val="en-NZ"/>
              </w:rPr>
            </w:pPr>
            <w:r w:rsidRPr="002A7CB2">
              <w:rPr>
                <w:rStyle w:val="SpecialBold"/>
              </w:rPr>
              <w:t xml:space="preserve">Site safety and environmental requirements </w:t>
            </w:r>
          </w:p>
        </w:tc>
        <w:tc>
          <w:tcPr>
            <w:tcW w:w="0" w:type="auto"/>
            <w:tcBorders>
              <w:top w:val="nil"/>
              <w:left w:val="nil"/>
              <w:bottom w:val="nil"/>
              <w:right w:val="nil"/>
            </w:tcBorders>
            <w:tcMar>
              <w:top w:w="0" w:type="dxa"/>
              <w:left w:w="62" w:type="dxa"/>
              <w:bottom w:w="0" w:type="dxa"/>
              <w:right w:w="62" w:type="dxa"/>
            </w:tcMar>
          </w:tcPr>
          <w:p w:rsidR="00000000" w:rsidRPr="002A7CB2" w:rsidP="002A7CB2">
            <w:pPr>
              <w:pStyle w:val="BodyText"/>
            </w:pPr>
            <w:r w:rsidRPr="002A7CB2">
              <w:t>Site safety and enviro</w:t>
            </w:r>
            <w:r w:rsidRPr="002A7CB2">
              <w:t>nmental requirements include, but are not limited to, one or more of:</w:t>
            </w:r>
          </w:p>
          <w:p w:rsidR="00000000" w:rsidRPr="002A7CB2" w:rsidP="002A7CB2">
            <w:pPr>
              <w:pStyle w:val="ListBullet"/>
            </w:pPr>
            <w:r w:rsidRPr="002A7CB2">
              <w:t>use of personal protective equipment (PPE), such as sunscreen, hats, safety glasses, gloves, coveralls and safety boots</w:t>
            </w:r>
          </w:p>
          <w:p w:rsidR="00000000" w:rsidRPr="002A7CB2" w:rsidP="002A7CB2">
            <w:pPr>
              <w:pStyle w:val="ListBullet"/>
            </w:pPr>
            <w:r>
              <w:t>‘</w:t>
            </w:r>
            <w:r w:rsidRPr="002A7CB2">
              <w:t>stay with vehicle</w:t>
            </w:r>
            <w:r>
              <w:t>’</w:t>
            </w:r>
            <w:r w:rsidRPr="002A7CB2">
              <w:t xml:space="preserve"> and other survival techniques</w:t>
            </w:r>
          </w:p>
          <w:p w:rsidR="00000000" w:rsidRPr="002A7CB2" w:rsidP="002A7CB2">
            <w:pPr>
              <w:pStyle w:val="ListBullet"/>
            </w:pPr>
            <w:r w:rsidRPr="002A7CB2">
              <w:t>following a reg</w:t>
            </w:r>
            <w:r w:rsidRPr="002A7CB2">
              <w:t>ular communication schedule</w:t>
            </w:r>
          </w:p>
          <w:p w:rsidR="00000000" w:rsidRPr="002A7CB2" w:rsidP="002A7CB2">
            <w:pPr>
              <w:pStyle w:val="ListBullet"/>
            </w:pPr>
            <w:r w:rsidRPr="002A7CB2">
              <w:t>using GPS, maps and aerial photos</w:t>
            </w:r>
          </w:p>
          <w:p w:rsidR="00000000" w:rsidRPr="002A7CB2" w:rsidP="002A7CB2">
            <w:pPr>
              <w:pStyle w:val="ListBullet"/>
            </w:pPr>
            <w:r w:rsidRPr="002A7CB2">
              <w:t>handling, storing and disposing of all hazardous materials/waste in accordance with MSDS, labels, workplace procedures, codes and regulations</w:t>
            </w:r>
          </w:p>
          <w:p w:rsidR="00000000" w:rsidRPr="002A7CB2" w:rsidP="002A7CB2">
            <w:pPr>
              <w:pStyle w:val="ListBullet"/>
            </w:pPr>
            <w:r w:rsidRPr="002A7CB2">
              <w:t>regular cleaning of vehicles and equipment to prevent transfer of pests and contaminants</w:t>
            </w:r>
          </w:p>
          <w:p w:rsidR="00000000" w:rsidRPr="002A7CB2" w:rsidP="002A7CB2">
            <w:pPr>
              <w:pStyle w:val="ListBullet"/>
            </w:pPr>
            <w:r w:rsidRPr="002A7CB2">
              <w:t>driving vehicles to minimise soil erosion and damage to fauna and vegetation</w:t>
            </w:r>
          </w:p>
          <w:p w:rsidR="00000000" w:rsidP="002A7CB2">
            <w:pPr>
              <w:pStyle w:val="BodyText"/>
              <w:rPr>
                <w:lang w:val="en-NZ"/>
              </w:rPr>
            </w:pPr>
          </w:p>
        </w:tc>
      </w:tr>
      <w:tr w:rsidTr="00AA6C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7CB2">
            <w:pPr>
              <w:pStyle w:val="BodyText"/>
              <w:rPr>
                <w:lang w:val="en-NZ"/>
              </w:rPr>
            </w:pPr>
            <w:r w:rsidRPr="002A7CB2">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2A7CB2" w:rsidP="002A7CB2">
            <w:pPr>
              <w:pStyle w:val="BodyText"/>
            </w:pPr>
            <w:r w:rsidRPr="002A7CB2">
              <w:t>WHS and environmental management requirem</w:t>
            </w:r>
            <w:r w:rsidRPr="002A7CB2">
              <w:t>ents include:</w:t>
            </w:r>
          </w:p>
          <w:p w:rsidR="00000000" w:rsidRPr="002A7CB2" w:rsidP="002A7CB2">
            <w:pPr>
              <w:pStyle w:val="BodyText"/>
            </w:pPr>
            <w:r w:rsidRPr="002A7CB2">
              <w:rPr>
                <w:rStyle w:val="Symbols"/>
              </w:rPr>
              <w:t></w:t>
            </w:r>
            <w:r w:rsidRPr="002A7CB2">
              <w:rPr>
                <w:rStyle w:val="Symbols"/>
              </w:rPr>
              <w:tab/>
            </w:r>
            <w:r w:rsidRPr="002A7CB2">
              <w:t>complying with WHS and environmental management requirements at all times, which may be imposed through state/territory or federal legislation. These requirements must not be compromised at any time</w:t>
            </w:r>
          </w:p>
          <w:p w:rsidR="00000000" w:rsidRPr="002A7CB2" w:rsidP="002A7CB2">
            <w:pPr>
              <w:pStyle w:val="BodyText"/>
            </w:pPr>
            <w:r w:rsidRPr="002A7CB2">
              <w:rPr>
                <w:rStyle w:val="Symbols"/>
              </w:rPr>
              <w:t></w:t>
            </w:r>
            <w:r w:rsidRPr="002A7CB2">
              <w:rPr>
                <w:rStyle w:val="Symbols"/>
              </w:rPr>
              <w:tab/>
            </w:r>
            <w:r w:rsidRPr="002A7CB2">
              <w:t>applying standard precautions relating to the potentially hazardous nature of samples</w:t>
            </w:r>
          </w:p>
        </w:tc>
      </w:tr>
    </w:tbl>
    <w:p w:rsidR="00000000" w:rsidRPr="002A7CB2" w:rsidP="002A7CB2">
      <w:pPr>
        <w:pStyle w:val="BodyText"/>
      </w:pPr>
    </w:p>
    <w:p w:rsidR="00000000" w:rsidRPr="002A7CB2" w:rsidP="002A7CB2">
      <w:pPr>
        <w:pStyle w:val="AllowPageBreak"/>
      </w:pPr>
    </w:p>
    <w:p w:rsidR="00000000" w:rsidRPr="002A7CB2" w:rsidP="002A7CB2">
      <w:pPr>
        <w:pStyle w:val="Heading1"/>
      </w:pPr>
      <w:bookmarkStart w:id="9" w:name="O_899546"/>
      <w:bookmarkEnd w:id="9"/>
      <w:r w:rsidRPr="002A7CB2">
        <w:t>Unit Mapping Information</w:t>
      </w:r>
    </w:p>
    <w:p w:rsidR="00000000" w:rsidRPr="002A7CB2" w:rsidP="00AA6CA9">
      <w:pPr>
        <w:pStyle w:val="BodyText"/>
      </w:pPr>
      <w:r w:rsidRPr="002A7CB2">
        <w:t>Release 1. Supersedes and is equivalent to MSL974009A Undertake field-based, remote-sensing monitoring</w:t>
      </w:r>
    </w:p>
    <w:p w:rsidR="00000000" w:rsidRPr="002A7CB2" w:rsidP="002A7CB2">
      <w:pPr>
        <w:pStyle w:val="Heading1"/>
      </w:pPr>
      <w:bookmarkStart w:id="10" w:name="O_899539"/>
      <w:bookmarkEnd w:id="10"/>
      <w:r w:rsidRPr="002A7CB2">
        <w:t>Links</w:t>
      </w:r>
    </w:p>
    <w:p w:rsidR="00000000" w:rsidRPr="002A7CB2" w:rsidP="00AA6CA9">
      <w:pPr>
        <w:pStyle w:val="BodyText"/>
      </w:pPr>
      <w:r w:rsidRPr="002A7CB2">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3577D1">
        <w:rPr>
          <w:rStyle w:val="Hyperlink"/>
        </w:rPr>
        <w:t>https://vetnet.gov.au/Pages/TrainingDocs.aspx?q=5c63a03b-4a6b-4ae5-9560-1e3c5f462baa</w:t>
      </w:r>
      <w:r>
        <w:fldChar w:fldCharType="end"/>
      </w:r>
    </w:p>
    <w:p w:rsidR="00000000" w:rsidRPr="002A7CB2" w:rsidP="00AA6CA9">
      <w:pPr>
        <w:pStyle w:val="BodyText"/>
        <w:sectPr w:rsidSect="002A7CB2">
          <w:headerReference w:type="default" r:id="rId10"/>
          <w:footerReference w:type="default" r:id="rId11"/>
          <w:pgSz w:w="11908" w:h="16833"/>
          <w:pgMar w:top="1702" w:right="1418" w:bottom="1702" w:left="1418" w:header="992" w:footer="992" w:gutter="0"/>
          <w:cols w:space="720"/>
          <w:noEndnote/>
          <w:docGrid w:linePitch="299"/>
        </w:sectPr>
      </w:pPr>
    </w:p>
    <w:p w:rsidR="00000000" w:rsidRPr="002A7CB2" w:rsidP="002A7CB2">
      <w:pPr>
        <w:pStyle w:val="SuperHeading"/>
      </w:pPr>
      <w:r w:rsidRPr="002A7CB2">
        <w:t>Assessment Requirements for MSL974009 Undertake field-based, re</w:t>
      </w:r>
      <w:r w:rsidRPr="002A7CB2">
        <w:t>mote-sensing monitoring</w:t>
      </w:r>
    </w:p>
    <w:p w:rsidR="00000000" w:rsidRPr="002A7CB2" w:rsidP="002A7CB2">
      <w:pPr>
        <w:pStyle w:val="Heading1"/>
      </w:pPr>
      <w:bookmarkStart w:id="11" w:name="O_899541"/>
      <w:bookmarkEnd w:id="11"/>
      <w:r w:rsidRPr="002A7CB2">
        <w:t>Modification History</w:t>
      </w:r>
    </w:p>
    <w:p w:rsidR="00000000" w:rsidRPr="002A7CB2" w:rsidP="00AA6CA9">
      <w:pPr>
        <w:pStyle w:val="BodyText"/>
      </w:pPr>
      <w:r w:rsidRPr="002A7CB2">
        <w:t>Release 1. Supersedes and is equivalent to MSL974009A Undertake field-based, remote-sensing monitoring</w:t>
      </w:r>
    </w:p>
    <w:p w:rsidR="00000000" w:rsidRPr="002A7CB2" w:rsidP="002A7CB2">
      <w:pPr>
        <w:pStyle w:val="Heading1"/>
      </w:pPr>
      <w:bookmarkStart w:id="12" w:name="O_899544"/>
      <w:bookmarkEnd w:id="12"/>
      <w:r w:rsidRPr="002A7CB2">
        <w:t>Performance Evidence</w:t>
      </w:r>
    </w:p>
    <w:p w:rsidR="00000000" w:rsidRPr="002A7CB2" w:rsidP="00AA6CA9">
      <w:pPr>
        <w:pStyle w:val="BodyText"/>
      </w:pPr>
      <w:r w:rsidRPr="002A7CB2">
        <w:t>Evidence of competence in this unit must satisfy all o</w:t>
      </w:r>
      <w:r w:rsidRPr="002A7CB2">
        <w:t>f the requirements of the elements and performance criteria, and include demonstration of:</w:t>
      </w:r>
    </w:p>
    <w:p w:rsidR="00000000" w:rsidRPr="002A7CB2" w:rsidP="002A7CB2">
      <w:pPr>
        <w:pStyle w:val="ListBullet"/>
      </w:pPr>
      <w:r w:rsidRPr="002A7CB2">
        <w:t>organising and safely undertaking defined field-based, remote-sensing monitoring activities on at least two (2) occasions</w:t>
      </w:r>
    </w:p>
    <w:p w:rsidR="00000000" w:rsidRPr="002A7CB2" w:rsidP="002A7CB2">
      <w:pPr>
        <w:pStyle w:val="ListBullet"/>
      </w:pPr>
      <w:r w:rsidRPr="002A7CB2">
        <w:t>accurately identifying and interpreting st</w:t>
      </w:r>
      <w:r w:rsidRPr="002A7CB2">
        <w:t>atutory requirements</w:t>
      </w:r>
    </w:p>
    <w:p w:rsidR="00000000" w:rsidRPr="002A7CB2" w:rsidP="002A7CB2">
      <w:pPr>
        <w:pStyle w:val="ListBullet"/>
      </w:pPr>
      <w:r w:rsidRPr="002A7CB2">
        <w:t>safely undertaking reconnaissance and evaluating monitoring sites</w:t>
      </w:r>
    </w:p>
    <w:p w:rsidR="00000000" w:rsidRPr="002A7CB2" w:rsidP="002A7CB2">
      <w:pPr>
        <w:pStyle w:val="ListBullet"/>
      </w:pPr>
      <w:r w:rsidRPr="002A7CB2">
        <w:t>confirming type, quantity and quality of data needed for defined monitoring activities</w:t>
      </w:r>
    </w:p>
    <w:p w:rsidR="00000000" w:rsidRPr="002A7CB2" w:rsidP="002A7CB2">
      <w:pPr>
        <w:pStyle w:val="ListBullet"/>
      </w:pPr>
      <w:r w:rsidRPr="002A7CB2">
        <w:t>safely packaging and transporting supplies, equipment and instruments into the fie</w:t>
      </w:r>
      <w:r w:rsidRPr="002A7CB2">
        <w:t>ld</w:t>
      </w:r>
    </w:p>
    <w:p w:rsidR="00000000" w:rsidRPr="002A7CB2" w:rsidP="002A7CB2">
      <w:pPr>
        <w:pStyle w:val="ListBullet"/>
      </w:pPr>
      <w:r w:rsidRPr="002A7CB2">
        <w:t>identifying and establishing a secure field monitoring site according to defined criteria</w:t>
      </w:r>
    </w:p>
    <w:p w:rsidR="00000000" w:rsidRPr="002A7CB2" w:rsidP="002A7CB2">
      <w:pPr>
        <w:pStyle w:val="ListBullet"/>
      </w:pPr>
      <w:r w:rsidRPr="002A7CB2">
        <w:t>assembling, testing and closing down a field-based, remote-sensing monitoring system on-site</w:t>
      </w:r>
    </w:p>
    <w:p w:rsidR="00000000" w:rsidRPr="002A7CB2" w:rsidP="002A7CB2">
      <w:pPr>
        <w:pStyle w:val="ListBullet"/>
      </w:pPr>
      <w:r w:rsidRPr="002A7CB2">
        <w:t>performing calibration and pre-use checks and maintaining equipment and systems in accordance with workplace procedures</w:t>
      </w:r>
    </w:p>
    <w:p w:rsidR="00000000" w:rsidRPr="002A7CB2" w:rsidP="002A7CB2">
      <w:pPr>
        <w:pStyle w:val="ListBullet"/>
      </w:pPr>
      <w:r w:rsidRPr="002A7CB2">
        <w:t>operating the monitoring system to collect and store reliable data in accordance with workplace and data quality procedures</w:t>
      </w:r>
    </w:p>
    <w:p w:rsidR="00000000" w:rsidRPr="002A7CB2" w:rsidP="002A7CB2">
      <w:pPr>
        <w:pStyle w:val="ListBullet"/>
      </w:pPr>
      <w:r w:rsidRPr="002A7CB2">
        <w:t>communicatin</w:t>
      </w:r>
      <w:r w:rsidRPr="002A7CB2">
        <w:t>g effectively and efficiently with staff and other relevant parties and negotiating satisfactory agreements</w:t>
      </w:r>
    </w:p>
    <w:p w:rsidR="00000000" w:rsidRPr="002A7CB2" w:rsidP="002A7CB2">
      <w:pPr>
        <w:pStyle w:val="ListBullet"/>
      </w:pPr>
      <w:r w:rsidRPr="002A7CB2">
        <w:t>responding effectively to changed or unforeseen circumstances</w:t>
      </w:r>
    </w:p>
    <w:p w:rsidR="00000000" w:rsidRPr="002A7CB2" w:rsidP="002A7CB2">
      <w:pPr>
        <w:pStyle w:val="ListBullet"/>
      </w:pPr>
      <w:r w:rsidRPr="002A7CB2">
        <w:t>recognising hazards and risks and following all safety and environmental requirements.</w:t>
      </w:r>
    </w:p>
    <w:p w:rsidR="00000000" w:rsidRPr="002A7CB2" w:rsidP="002A7CB2">
      <w:pPr>
        <w:pStyle w:val="AllowPageBreak"/>
      </w:pPr>
    </w:p>
    <w:p w:rsidR="00000000" w:rsidRPr="002A7CB2" w:rsidP="002A7CB2">
      <w:pPr>
        <w:pStyle w:val="Heading1"/>
      </w:pPr>
      <w:bookmarkStart w:id="13" w:name="O_899543"/>
      <w:bookmarkEnd w:id="13"/>
      <w:r w:rsidRPr="002A7CB2">
        <w:t>Knowledge Evidence</w:t>
      </w:r>
    </w:p>
    <w:p w:rsidR="00000000" w:rsidRPr="002A7CB2" w:rsidP="00AA6CA9">
      <w:pPr>
        <w:pStyle w:val="BodyText"/>
      </w:pPr>
      <w:r w:rsidRPr="002A7CB2">
        <w:t>Must provide evidence that demonstrates knowledge of:</w:t>
      </w:r>
    </w:p>
    <w:p w:rsidR="00000000" w:rsidRPr="002A7CB2" w:rsidP="002A7CB2">
      <w:pPr>
        <w:pStyle w:val="ListBullet"/>
      </w:pPr>
      <w:r w:rsidRPr="002A7CB2">
        <w:t>terminology, protocols and statutory requirements relevant to field-based environmental monitoring activities conducted as part of job role</w:t>
      </w:r>
    </w:p>
    <w:p w:rsidR="00000000" w:rsidRPr="002A7CB2" w:rsidP="002A7CB2">
      <w:pPr>
        <w:pStyle w:val="ListBullet"/>
      </w:pPr>
      <w:r w:rsidRPr="002A7CB2">
        <w:t>purpose and objectives o</w:t>
      </w:r>
      <w:r w:rsidRPr="002A7CB2">
        <w:t>f the monitoring activities conducted as part of job role, including:</w:t>
      </w:r>
    </w:p>
    <w:p w:rsidR="00000000" w:rsidRPr="002A7CB2" w:rsidP="002A7CB2">
      <w:pPr>
        <w:pStyle w:val="ListBullet2"/>
      </w:pPr>
      <w:r w:rsidRPr="002A7CB2">
        <w:t>information and analysis required</w:t>
      </w:r>
    </w:p>
    <w:p w:rsidR="00000000" w:rsidRPr="002A7CB2" w:rsidP="002A7CB2">
      <w:pPr>
        <w:pStyle w:val="ListBullet2"/>
      </w:pPr>
      <w:r w:rsidRPr="002A7CB2">
        <w:t>end users of information</w:t>
      </w:r>
    </w:p>
    <w:p w:rsidR="00000000" w:rsidRPr="002A7CB2" w:rsidP="002A7CB2">
      <w:pPr>
        <w:pStyle w:val="ListBullet2"/>
      </w:pPr>
      <w:r w:rsidRPr="002A7CB2">
        <w:t>significance of outcomes for broader programs</w:t>
      </w:r>
    </w:p>
    <w:p w:rsidR="00000000" w:rsidRPr="002A7CB2" w:rsidP="002A7CB2">
      <w:pPr>
        <w:pStyle w:val="ListBullet"/>
      </w:pPr>
      <w:r w:rsidRPr="002A7CB2">
        <w:t xml:space="preserve">operating principles, technical capabilities and limitations of remote-sensing equipment and instruments used </w:t>
      </w:r>
    </w:p>
    <w:p w:rsidR="00000000" w:rsidRPr="002A7CB2" w:rsidP="002A7CB2">
      <w:pPr>
        <w:pStyle w:val="ListBullet"/>
      </w:pPr>
      <w:r w:rsidRPr="002A7CB2">
        <w:t>basic fault identification and rectification procedures for field instruments and monitoring system</w:t>
      </w:r>
    </w:p>
    <w:p w:rsidR="00000000" w:rsidRPr="002A7CB2" w:rsidP="002A7CB2">
      <w:pPr>
        <w:pStyle w:val="ListBullet"/>
      </w:pPr>
      <w:r w:rsidRPr="002A7CB2">
        <w:t>data quality, data storage, analysis and pres</w:t>
      </w:r>
      <w:r w:rsidRPr="002A7CB2">
        <w:t>entation procedures</w:t>
      </w:r>
    </w:p>
    <w:p w:rsidR="00000000" w:rsidRPr="002A7CB2" w:rsidP="002A7CB2">
      <w:pPr>
        <w:pStyle w:val="ListBullet"/>
      </w:pPr>
      <w:r w:rsidRPr="002A7CB2">
        <w:t>workplace and/or legal traceability requirements</w:t>
      </w:r>
    </w:p>
    <w:p w:rsidR="00000000" w:rsidRPr="002A7CB2" w:rsidP="002A7CB2">
      <w:pPr>
        <w:pStyle w:val="ListBullet"/>
      </w:pPr>
      <w:r w:rsidRPr="002A7CB2">
        <w:t>hazards and risks associated with field-based, remote-sensing monitoring</w:t>
      </w:r>
    </w:p>
    <w:p w:rsidR="00000000" w:rsidRPr="002A7CB2" w:rsidP="002A7CB2">
      <w:pPr>
        <w:pStyle w:val="ListBullet"/>
      </w:pPr>
      <w:r w:rsidRPr="002A7CB2">
        <w:t>field-based work health and safety (WHS) requirements, emergency plans and environmental requirements.</w:t>
      </w:r>
    </w:p>
    <w:p w:rsidR="00000000" w:rsidRPr="002A7CB2" w:rsidP="002A7CB2">
      <w:pPr>
        <w:pStyle w:val="AllowPageBreak"/>
      </w:pPr>
    </w:p>
    <w:p w:rsidR="00000000" w:rsidRPr="002A7CB2" w:rsidP="002A7CB2">
      <w:pPr>
        <w:pStyle w:val="Heading1"/>
      </w:pPr>
      <w:bookmarkStart w:id="14" w:name="O_899542"/>
      <w:bookmarkEnd w:id="14"/>
      <w:r w:rsidRPr="002A7CB2">
        <w:t>Assessment Conditions</w:t>
      </w:r>
    </w:p>
    <w:p w:rsidR="00000000" w:rsidRPr="002A7CB2" w:rsidP="002A7CB2">
      <w:pPr>
        <w:pStyle w:val="ListBullet"/>
      </w:pPr>
      <w:r w:rsidRPr="002A7CB2">
        <w:t xml:space="preserve">Judgment of competence must be based on holistic assessment of the evidence. Assessment methods must confirm consistency of performance over time, rather than a single assessment event. </w:t>
      </w:r>
    </w:p>
    <w:p w:rsidR="00000000" w:rsidRPr="002A7CB2" w:rsidP="002A7CB2">
      <w:pPr>
        <w:pStyle w:val="ListBullet"/>
      </w:pPr>
      <w:r w:rsidRPr="002A7CB2">
        <w:t>This unit of competency is to be assesse</w:t>
      </w:r>
      <w:r w:rsidRPr="002A7CB2">
        <w:t>d in the workplace or a simulated workplace environment. A simulated workplace environment must reflect realistic operational workplace conditions that cover all aspects of workplace performance, including the environment, task skills, task management skil</w:t>
      </w:r>
      <w:r w:rsidRPr="002A7CB2">
        <w:t xml:space="preserve">ls, contingency management skills and job role environment skills.  </w:t>
      </w:r>
    </w:p>
    <w:p w:rsidR="00000000" w:rsidRPr="002A7CB2" w:rsidP="002A7CB2">
      <w:pPr>
        <w:pStyle w:val="ListBullet"/>
      </w:pPr>
      <w:r w:rsidRPr="002A7CB2">
        <w:t xml:space="preserve">Foundation skills are integral to competent performance of the unit and should not be assessed separately. </w:t>
      </w:r>
    </w:p>
    <w:p w:rsidR="00000000" w:rsidRPr="002A7CB2" w:rsidP="002A7CB2">
      <w:pPr>
        <w:pStyle w:val="ListBullet"/>
      </w:pPr>
      <w:r w:rsidRPr="002A7CB2">
        <w:t>Assessment processes and techniques must be appropriate to the language, literacy and numeracy requirements of the work being performed and the needs of the candidate.</w:t>
      </w:r>
    </w:p>
    <w:p w:rsidR="00000000" w:rsidRPr="002A7CB2" w:rsidP="002A7CB2">
      <w:pPr>
        <w:pStyle w:val="ListBullet"/>
      </w:pPr>
      <w:r w:rsidRPr="002A7CB2">
        <w:t>Knowledge evidence may be collected concurrently with performance evidence or through an</w:t>
      </w:r>
      <w:r w:rsidRPr="002A7CB2">
        <w:t xml:space="preserve"> independent process, such as workbooks, written assessments or interviews (provided a record is kept in each case).</w:t>
      </w:r>
    </w:p>
    <w:p w:rsidR="00000000" w:rsidRPr="002A7CB2" w:rsidP="002A7CB2">
      <w:pPr>
        <w:pStyle w:val="ListBullet"/>
      </w:pPr>
      <w:r w:rsidRPr="002A7CB2">
        <w:t xml:space="preserve">This unit of competency may be assessed with: </w:t>
      </w:r>
    </w:p>
    <w:p w:rsidR="00000000" w:rsidRPr="002A7CB2" w:rsidP="002A7CB2">
      <w:pPr>
        <w:pStyle w:val="ListBullet2"/>
      </w:pPr>
      <w:r w:rsidRPr="002A7CB2">
        <w:t>MSL935004 Maintain instruments and equipment</w:t>
      </w:r>
    </w:p>
    <w:p w:rsidR="00000000" w:rsidRPr="002A7CB2" w:rsidP="002A7CB2">
      <w:pPr>
        <w:pStyle w:val="ListBullet"/>
      </w:pPr>
      <w:r w:rsidRPr="002A7CB2">
        <w:t>Holistic assessment methods include:</w:t>
      </w:r>
    </w:p>
    <w:p w:rsidR="00000000" w:rsidRPr="002A7CB2" w:rsidP="002A7CB2">
      <w:pPr>
        <w:pStyle w:val="ListBullet2"/>
      </w:pPr>
      <w:r w:rsidRPr="002A7CB2">
        <w:t xml:space="preserve">review </w:t>
      </w:r>
      <w:r w:rsidRPr="002A7CB2">
        <w:t>of data and results obtained by the candidate</w:t>
      </w:r>
    </w:p>
    <w:p w:rsidR="00000000" w:rsidRPr="002A7CB2" w:rsidP="002A7CB2">
      <w:pPr>
        <w:pStyle w:val="ListBullet2"/>
      </w:pPr>
      <w:r w:rsidRPr="002A7CB2">
        <w:t>feedback from supervisors and peers about the candidate’s performance in the field</w:t>
      </w:r>
    </w:p>
    <w:p w:rsidR="00000000" w:rsidRPr="002A7CB2" w:rsidP="002A7CB2">
      <w:pPr>
        <w:pStyle w:val="ListBullet2"/>
      </w:pPr>
      <w:r w:rsidRPr="002A7CB2">
        <w:t xml:space="preserve">observation of the candidate assembling, conducting calibration and pre-use checks and operating a field-based, remote-sensing </w:t>
      </w:r>
      <w:r w:rsidRPr="002A7CB2">
        <w:t>monitoring system on-site to collect and store reliable data</w:t>
      </w:r>
    </w:p>
    <w:p w:rsidR="00000000" w:rsidRPr="002A7CB2" w:rsidP="002A7CB2">
      <w:pPr>
        <w:pStyle w:val="ListBullet2"/>
      </w:pPr>
      <w:r w:rsidRPr="002A7CB2">
        <w:t>review of the candidate’s response to simulation exercises, such as accident and emergency situations, and/or checking and testing equipment</w:t>
      </w:r>
    </w:p>
    <w:p w:rsidR="00000000" w:rsidRPr="002A7CB2" w:rsidP="002A7CB2">
      <w:pPr>
        <w:pStyle w:val="ListBullet2"/>
      </w:pPr>
      <w:r w:rsidRPr="002A7CB2">
        <w:t>oral and/or written questions covering specifications,</w:t>
      </w:r>
      <w:r w:rsidRPr="002A7CB2">
        <w:t xml:space="preserve"> requirements, workplace procedures and equipment/instruments used for monitoring activities conducted as part of job role.</w:t>
      </w:r>
    </w:p>
    <w:p w:rsidR="00000000" w:rsidRPr="002A7CB2" w:rsidP="002A7CB2">
      <w:pPr>
        <w:pStyle w:val="ListBullet"/>
      </w:pPr>
      <w:r w:rsidRPr="002A7CB2">
        <w:t>Access is required to instruments, equipment, materials, workplace documentation, procedures and specifications associated with thi</w:t>
      </w:r>
      <w:r w:rsidRPr="002A7CB2">
        <w:t>s unit, including, but not limited to:</w:t>
      </w:r>
    </w:p>
    <w:p w:rsidR="00000000" w:rsidRPr="002A7CB2" w:rsidP="002A7CB2">
      <w:pPr>
        <w:pStyle w:val="ListBullet2"/>
      </w:pPr>
      <w:r w:rsidRPr="002A7CB2">
        <w:t xml:space="preserve">work program, workplace procedures covering safety and risk assessment, first aid, survival and emergency procedures, environmental requirements, codes of practice and field protocols </w:t>
      </w:r>
    </w:p>
    <w:p w:rsidR="00000000" w:rsidRPr="002A7CB2" w:rsidP="002A7CB2">
      <w:pPr>
        <w:pStyle w:val="ListBullet2"/>
      </w:pPr>
      <w:r w:rsidRPr="002A7CB2">
        <w:t>vehicles, monitoring and commun</w:t>
      </w:r>
      <w:r w:rsidRPr="002A7CB2">
        <w:t>ication equipment, consumables and manuals.</w:t>
      </w:r>
    </w:p>
    <w:p w:rsidR="00000000" w:rsidRPr="002A7CB2" w:rsidP="002A7CB2">
      <w:pPr>
        <w:pStyle w:val="ListBullet"/>
      </w:pPr>
      <w:r w:rsidRPr="002A7CB2">
        <w:t xml:space="preserve">Assessors must satisfy the assessor competency requirements that are in place at the time of the assessment as set by the VET regulator.  </w:t>
      </w:r>
    </w:p>
    <w:p w:rsidR="00000000" w:rsidRPr="002A7CB2" w:rsidP="002A7CB2">
      <w:pPr>
        <w:pStyle w:val="ListBullet"/>
      </w:pPr>
      <w:r w:rsidRPr="002A7CB2">
        <w:t>The assessor must demonstrate both technical competence and currency.</w:t>
      </w:r>
    </w:p>
    <w:p w:rsidR="00000000" w:rsidRPr="002A7CB2" w:rsidP="002A7CB2">
      <w:pPr>
        <w:pStyle w:val="ListBullet"/>
      </w:pPr>
      <w:r w:rsidRPr="002A7CB2">
        <w:t>Technical competence can be demonstrated through:</w:t>
      </w:r>
    </w:p>
    <w:p w:rsidR="00000000" w:rsidRPr="002A7CB2" w:rsidP="002A7CB2">
      <w:pPr>
        <w:pStyle w:val="ListBullet2"/>
      </w:pPr>
      <w:r w:rsidRPr="002A7CB2">
        <w:t>relevant VET or other qualification/Statement of Attainment AND/OR</w:t>
      </w:r>
    </w:p>
    <w:p w:rsidR="00000000" w:rsidRPr="002A7CB2" w:rsidP="002A7CB2">
      <w:pPr>
        <w:pStyle w:val="ListBullet2"/>
      </w:pPr>
      <w:r w:rsidRPr="002A7CB2">
        <w:t>relevant workplace experience.</w:t>
      </w:r>
    </w:p>
    <w:p w:rsidR="00000000" w:rsidRPr="002A7CB2" w:rsidP="002A7CB2">
      <w:pPr>
        <w:pStyle w:val="ListBullet"/>
      </w:pPr>
      <w:r w:rsidRPr="002A7CB2">
        <w:t>Currency can be demonstrated through:</w:t>
      </w:r>
    </w:p>
    <w:p w:rsidR="00000000" w:rsidRPr="002A7CB2" w:rsidP="002A7CB2">
      <w:pPr>
        <w:pStyle w:val="ListBullet2"/>
      </w:pPr>
      <w:r w:rsidRPr="002A7CB2">
        <w:t>performing the competency being assessed as part of current employm</w:t>
      </w:r>
      <w:r w:rsidRPr="002A7CB2">
        <w:t>ent OR</w:t>
      </w:r>
    </w:p>
    <w:p w:rsidR="00000000" w:rsidRPr="002A7CB2" w:rsidP="002A7CB2">
      <w:pPr>
        <w:pStyle w:val="ListBullet2"/>
      </w:pPr>
      <w:r w:rsidRPr="002A7CB2">
        <w:t>having consulted with a laboratory about performing the competency being assessed within the last twelve months.</w:t>
      </w:r>
    </w:p>
    <w:p w:rsidR="00000000" w:rsidRPr="002A7CB2" w:rsidP="002A7CB2">
      <w:pPr>
        <w:pStyle w:val="AllowPageBreak"/>
      </w:pPr>
    </w:p>
    <w:p w:rsidR="00000000" w:rsidRPr="002A7CB2" w:rsidP="002A7CB2">
      <w:pPr>
        <w:pStyle w:val="Heading1"/>
      </w:pPr>
      <w:bookmarkStart w:id="15" w:name="O_899540"/>
      <w:bookmarkEnd w:id="15"/>
      <w:r w:rsidRPr="002A7CB2">
        <w:t>Links</w:t>
      </w:r>
    </w:p>
    <w:p w:rsidR="00000000" w:rsidRPr="002A7CB2" w:rsidP="00AA6CA9">
      <w:pPr>
        <w:pStyle w:val="BodyText"/>
      </w:pPr>
      <w:r w:rsidRPr="002A7CB2">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3577D1">
        <w:rPr>
          <w:rStyle w:val="Hyperlink"/>
        </w:rPr>
        <w:t>https://vetnet.gov.au/Pages/TrainingDocs.aspx?q=5c63a03b-4a6b-4ae5-9560-1e3c5f462baa</w:t>
      </w:r>
      <w:r>
        <w:fldChar w:fldCharType="end"/>
      </w:r>
    </w:p>
    <w:p w:rsidR="00000000" w:rsidRPr="002A7CB2" w:rsidP="002A7CB2"/>
    <w:sectPr w:rsidSect="002A7CB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C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CB2" w:rsidRPr="00AA6CA9" w:rsidP="00AA6C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C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CA9" w:rsidP="002A7C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AA6CA9" w:rsidP="002A7CB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A6CA9" w:rsidP="002A7CB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CB2" w:rsidP="002A7CB2">
    <w:pPr>
      <w:pStyle w:val="Footer"/>
      <w:framePr w:wrap="around"/>
    </w:pPr>
    <w:r>
      <w:fldChar w:fldCharType="begin"/>
    </w:r>
    <w:r>
      <w:instrText xml:space="preserve"> DOCPROPERTY  Subject  \* MERGEFORMAT </w:instrText>
    </w:r>
    <w:r>
      <w:fldChar w:fldCharType="separate"/>
    </w:r>
    <w:r w:rsidR="00AA6CA9">
      <w:t>Approved</w:t>
    </w:r>
    <w:r w:rsidR="00AA6CA9">
      <w:fldChar w:fldCharType="end"/>
    </w:r>
    <w:r>
      <w:tab/>
      <w:t xml:space="preserve">Page </w:t>
    </w:r>
    <w:r>
      <w:fldChar w:fldCharType="begin"/>
    </w:r>
    <w:r>
      <w:instrText xml:space="preserve"> PAGE  \* Arabic  \* MERGEFORMAT </w:instrText>
    </w:r>
    <w:r>
      <w:fldChar w:fldCharType="separate"/>
    </w:r>
    <w:r w:rsidR="00AA6CA9">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A6CA9">
      <w:rPr>
        <w:noProof/>
      </w:rPr>
      <w:t>7</w:t>
    </w:r>
    <w:r>
      <w:rPr>
        <w:noProof/>
      </w:rPr>
      <w:fldChar w:fldCharType="end"/>
    </w:r>
  </w:p>
  <w:p w:rsidR="002A7CB2" w:rsidP="002A7CB2">
    <w:pPr>
      <w:pStyle w:val="Footer"/>
      <w:framePr w:wrap="around"/>
    </w:pPr>
    <w:r>
      <w:t xml:space="preserve">© Commonwealth of Australia, </w:t>
    </w:r>
    <w:r>
      <w:fldChar w:fldCharType="begin"/>
    </w:r>
    <w:r>
      <w:instrText xml:space="preserve"> DATE  \@ "yyyy"  \* MERGEFORMAT </w:instrText>
    </w:r>
    <w:r>
      <w:fldChar w:fldCharType="separate"/>
    </w:r>
    <w:r w:rsidR="00AA6CA9">
      <w:rPr>
        <w:noProof/>
      </w:rPr>
      <w:t>2025</w:t>
    </w:r>
    <w:r>
      <w:fldChar w:fldCharType="end"/>
    </w:r>
    <w:r>
      <w:tab/>
    </w:r>
    <w:r>
      <w:fldChar w:fldCharType="begin"/>
    </w:r>
    <w:r>
      <w:instrText xml:space="preserve"> DOCPROPERTY  Author  \* MERGEFORMAT </w:instrText>
    </w:r>
    <w:r>
      <w:fldChar w:fldCharType="separate"/>
    </w:r>
    <w:r w:rsidR="00AA6CA9">
      <w:t>Manufacturing Industry Skills Alliance</w:t>
    </w:r>
    <w:r w:rsidR="00AA6CA9">
      <w:fldChar w:fldCharType="end"/>
    </w:r>
  </w:p>
  <w:p w:rsidR="002A7CB2" w:rsidP="002A7C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C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C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7CB2" w:rsidRPr="00AA6CA9" w:rsidP="00AA6C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C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CA9" w:rsidRPr="002D2AF8" w:rsidP="002A7CB2">
    <w:pPr>
      <w:pStyle w:val="Header"/>
      <w:framePr w:wrap="around"/>
    </w:pPr>
    <w:r>
      <w:fldChar w:fldCharType="begin"/>
    </w:r>
    <w:r>
      <w:instrText xml:space="preserve"> TITLE   \* MERGEFORMAT </w:instrText>
    </w:r>
    <w:r>
      <w:fldChar w:fldCharType="separate"/>
    </w:r>
    <w:r>
      <w:t>MSL974009 Undertake field-based, remote-sensing monitoring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A6CA9" w:rsidP="002A7CB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CB2" w:rsidRPr="002D2AF8" w:rsidP="002A7CB2">
    <w:pPr>
      <w:pStyle w:val="Header"/>
      <w:framePr w:wrap="around"/>
    </w:pPr>
    <w:r>
      <w:fldChar w:fldCharType="begin"/>
    </w:r>
    <w:r>
      <w:instrText xml:space="preserve"> TITLE   \* MERGEFORMAT </w:instrText>
    </w:r>
    <w:r>
      <w:fldChar w:fldCharType="separate"/>
    </w:r>
    <w:r w:rsidR="00AA6CA9">
      <w:t>MSL974009 Undertake field-based, remote-sensing monitoring</w:t>
    </w:r>
    <w:r w:rsidR="00AA6CA9">
      <w:fldChar w:fldCharType="end"/>
    </w:r>
    <w:r>
      <w:tab/>
      <w:t xml:space="preserve">Date this document was generated: </w:t>
    </w:r>
    <w:r>
      <w:fldChar w:fldCharType="begin"/>
    </w:r>
    <w:r>
      <w:instrText xml:space="preserve"> CREATEDATE  \@ "d MMMM yyyy"  \* MERGEFORMAT </w:instrText>
    </w:r>
    <w:r>
      <w:fldChar w:fldCharType="separate"/>
    </w:r>
    <w:r w:rsidR="00AA6CA9">
      <w:rPr>
        <w:noProof/>
      </w:rPr>
      <w:t>2 March 2025</w:t>
    </w:r>
    <w:r>
      <w:fldChar w:fldCharType="end"/>
    </w:r>
  </w:p>
  <w:p w:rsidR="002A7CB2" w:rsidP="002A7C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EE7B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8C2C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4A9F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7C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7CB2"/>
    <w:pPr>
      <w:spacing w:before="360" w:after="60"/>
      <w:outlineLvl w:val="0"/>
    </w:pPr>
    <w:rPr>
      <w:sz w:val="32"/>
    </w:rPr>
  </w:style>
  <w:style w:type="paragraph" w:styleId="Heading2">
    <w:name w:val="heading 2"/>
    <w:basedOn w:val="HeadingBase"/>
    <w:next w:val="BodyText"/>
    <w:link w:val="Heading2Char"/>
    <w:qFormat/>
    <w:rsid w:val="002A7CB2"/>
    <w:pPr>
      <w:keepLines/>
      <w:spacing w:before="240" w:after="120"/>
      <w:outlineLvl w:val="1"/>
    </w:pPr>
    <w:rPr>
      <w:sz w:val="28"/>
      <w:szCs w:val="40"/>
    </w:rPr>
  </w:style>
  <w:style w:type="paragraph" w:styleId="Heading3">
    <w:name w:val="heading 3"/>
    <w:basedOn w:val="HeadingBase"/>
    <w:next w:val="BodyText"/>
    <w:link w:val="Heading3Char"/>
    <w:qFormat/>
    <w:rsid w:val="002A7CB2"/>
    <w:pPr>
      <w:spacing w:before="180" w:after="120"/>
      <w:outlineLvl w:val="2"/>
    </w:pPr>
    <w:rPr>
      <w:spacing w:val="-10"/>
      <w:kern w:val="32"/>
    </w:rPr>
  </w:style>
  <w:style w:type="paragraph" w:styleId="Heading4">
    <w:name w:val="heading 4"/>
    <w:basedOn w:val="HeadingBase"/>
    <w:next w:val="BodyText"/>
    <w:link w:val="Heading4Char"/>
    <w:qFormat/>
    <w:rsid w:val="002A7CB2"/>
    <w:pPr>
      <w:spacing w:before="160" w:after="120"/>
      <w:outlineLvl w:val="3"/>
    </w:pPr>
    <w:rPr>
      <w:sz w:val="22"/>
    </w:rPr>
  </w:style>
  <w:style w:type="paragraph" w:styleId="Heading5">
    <w:name w:val="heading 5"/>
    <w:basedOn w:val="HeadingBase"/>
    <w:next w:val="Normal"/>
    <w:link w:val="Heading5Char"/>
    <w:qFormat/>
    <w:rsid w:val="002A7CB2"/>
    <w:pPr>
      <w:spacing w:before="80"/>
      <w:outlineLvl w:val="4"/>
    </w:pPr>
    <w:rPr>
      <w:color w:val="918585"/>
      <w:sz w:val="20"/>
    </w:rPr>
  </w:style>
  <w:style w:type="paragraph" w:styleId="Heading6">
    <w:name w:val="heading 6"/>
    <w:basedOn w:val="HeadingBase"/>
    <w:next w:val="Normal"/>
    <w:link w:val="Heading6Char"/>
    <w:qFormat/>
    <w:rsid w:val="002A7CB2"/>
    <w:pPr>
      <w:spacing w:before="60"/>
      <w:outlineLvl w:val="5"/>
    </w:pPr>
    <w:rPr>
      <w:color w:val="918585"/>
      <w:sz w:val="20"/>
    </w:rPr>
  </w:style>
  <w:style w:type="paragraph" w:styleId="Heading7">
    <w:name w:val="heading 7"/>
    <w:basedOn w:val="Normal"/>
    <w:next w:val="Normal"/>
    <w:link w:val="Heading7Char"/>
    <w:qFormat/>
    <w:rsid w:val="002A7CB2"/>
    <w:pPr>
      <w:ind w:left="720"/>
      <w:outlineLvl w:val="6"/>
    </w:pPr>
    <w:rPr>
      <w:i/>
    </w:rPr>
  </w:style>
  <w:style w:type="paragraph" w:styleId="Heading8">
    <w:name w:val="heading 8"/>
    <w:basedOn w:val="Normal"/>
    <w:next w:val="Normal"/>
    <w:link w:val="Heading8Char"/>
    <w:qFormat/>
    <w:rsid w:val="002A7CB2"/>
    <w:pPr>
      <w:ind w:left="720"/>
      <w:outlineLvl w:val="7"/>
    </w:pPr>
    <w:rPr>
      <w:i/>
    </w:rPr>
  </w:style>
  <w:style w:type="paragraph" w:styleId="Heading9">
    <w:name w:val="heading 9"/>
    <w:basedOn w:val="Normal"/>
    <w:next w:val="Normal"/>
    <w:link w:val="Heading9Char"/>
    <w:qFormat/>
    <w:rsid w:val="002A7CB2"/>
    <w:pPr>
      <w:ind w:left="720"/>
      <w:outlineLvl w:val="8"/>
    </w:pPr>
    <w:rPr>
      <w:i/>
    </w:rPr>
  </w:style>
  <w:style w:type="character" w:default="1" w:styleId="DefaultParagraphFont">
    <w:name w:val="Default Paragraph Font"/>
    <w:uiPriority w:val="1"/>
    <w:unhideWhenUsed/>
    <w:rsid w:val="002A7C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7CB2"/>
  </w:style>
  <w:style w:type="character" w:customStyle="1" w:styleId="Heading1Char">
    <w:name w:val="Heading 1 Char"/>
    <w:basedOn w:val="DefaultParagraphFont"/>
    <w:link w:val="Heading1"/>
    <w:rsid w:val="002A7CB2"/>
    <w:rPr>
      <w:rFonts w:ascii="Times New Roman" w:eastAsia="Times New Roman" w:hAnsi="Times New Roman" w:cs="Times New Roman"/>
      <w:b/>
      <w:sz w:val="32"/>
      <w:szCs w:val="20"/>
      <w:lang w:eastAsia="en-US"/>
    </w:rPr>
  </w:style>
  <w:style w:type="paragraph" w:styleId="BodyText">
    <w:name w:val="Body Text"/>
    <w:basedOn w:val="Normal"/>
    <w:link w:val="BodyTextChar"/>
    <w:rsid w:val="002A7C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7CB2"/>
    <w:rPr>
      <w:rFonts w:ascii="Times New Roman" w:eastAsia="Times New Roman" w:hAnsi="Times New Roman" w:cs="Times New Roman"/>
      <w:sz w:val="24"/>
      <w:lang w:eastAsia="en-US"/>
    </w:rPr>
  </w:style>
  <w:style w:type="paragraph" w:styleId="ListBullet">
    <w:name w:val="List Bullet"/>
    <w:basedOn w:val="List"/>
    <w:rsid w:val="002A7CB2"/>
    <w:pPr>
      <w:numPr>
        <w:numId w:val="12"/>
      </w:numPr>
      <w:tabs>
        <w:tab w:val="clear" w:pos="340"/>
      </w:tabs>
      <w:spacing w:before="40" w:after="40"/>
    </w:pPr>
  </w:style>
  <w:style w:type="character" w:customStyle="1" w:styleId="SpecialBold">
    <w:name w:val="Special Bold"/>
    <w:basedOn w:val="DefaultParagraphFont"/>
    <w:rsid w:val="002A7CB2"/>
    <w:rPr>
      <w:b/>
      <w:spacing w:val="0"/>
    </w:rPr>
  </w:style>
  <w:style w:type="paragraph" w:styleId="ListBullet2">
    <w:name w:val="List Bullet 2"/>
    <w:basedOn w:val="List2"/>
    <w:rsid w:val="002A7CB2"/>
    <w:pPr>
      <w:numPr>
        <w:numId w:val="13"/>
      </w:numPr>
      <w:tabs>
        <w:tab w:val="clear" w:pos="680"/>
      </w:tabs>
    </w:pPr>
  </w:style>
  <w:style w:type="paragraph" w:customStyle="1" w:styleId="SuperHeading">
    <w:name w:val="SuperHeading"/>
    <w:basedOn w:val="Normal"/>
    <w:rsid w:val="002A7CB2"/>
    <w:pPr>
      <w:spacing w:before="240" w:after="120"/>
      <w:outlineLvl w:val="0"/>
    </w:pPr>
    <w:rPr>
      <w:rFonts w:ascii="Times New Roman" w:hAnsi="Times New Roman"/>
      <w:b/>
      <w:sz w:val="32"/>
    </w:rPr>
  </w:style>
  <w:style w:type="paragraph" w:customStyle="1" w:styleId="AllowPageBreak">
    <w:name w:val="AllowPageBreak"/>
    <w:rsid w:val="002A7C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2A7CB2"/>
    <w:rPr>
      <w:rFonts w:ascii="Symbol" w:hAnsi="Symbol"/>
    </w:rPr>
  </w:style>
  <w:style w:type="character" w:customStyle="1" w:styleId="Heading2Char">
    <w:name w:val="Heading 2 Char"/>
    <w:basedOn w:val="DefaultParagraphFont"/>
    <w:link w:val="Heading2"/>
    <w:rsid w:val="002A7C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7C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7C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7C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7C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7C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7C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7CB2"/>
    <w:rPr>
      <w:rFonts w:ascii="Courier New" w:eastAsia="Times New Roman" w:hAnsi="Courier New" w:cs="Times New Roman"/>
      <w:i/>
      <w:szCs w:val="20"/>
      <w:lang w:eastAsia="en-US"/>
    </w:rPr>
  </w:style>
  <w:style w:type="paragraph" w:customStyle="1" w:styleId="HeadingBase">
    <w:name w:val="Heading Base"/>
    <w:rsid w:val="002A7C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7CB2"/>
    <w:pPr>
      <w:tabs>
        <w:tab w:val="right" w:leader="dot" w:pos="9072"/>
      </w:tabs>
      <w:ind w:left="567"/>
    </w:pPr>
    <w:rPr>
      <w:szCs w:val="22"/>
    </w:rPr>
  </w:style>
  <w:style w:type="paragraph" w:customStyle="1" w:styleId="TOCBase">
    <w:name w:val="TOC Base"/>
    <w:rsid w:val="002A7C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7CB2"/>
    <w:pPr>
      <w:tabs>
        <w:tab w:val="right" w:leader="dot" w:pos="9072"/>
      </w:tabs>
      <w:spacing w:before="40" w:after="40"/>
      <w:ind w:left="284"/>
    </w:pPr>
    <w:rPr>
      <w:rFonts w:ascii="Times New Roman" w:hAnsi="Times New Roman"/>
    </w:rPr>
  </w:style>
  <w:style w:type="paragraph" w:styleId="TOC1">
    <w:name w:val="toc 1"/>
    <w:basedOn w:val="TOCBase"/>
    <w:next w:val="Normal"/>
    <w:rsid w:val="002A7C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7C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7CB2"/>
    <w:rPr>
      <w:rFonts w:ascii="Times New Roman" w:eastAsia="Times New Roman" w:hAnsi="Times New Roman" w:cs="Times New Roman"/>
      <w:sz w:val="16"/>
      <w:lang w:eastAsia="en-US"/>
    </w:rPr>
  </w:style>
  <w:style w:type="paragraph" w:styleId="Title">
    <w:name w:val="Title"/>
    <w:basedOn w:val="HeadingBase"/>
    <w:link w:val="TitleChar"/>
    <w:qFormat/>
    <w:rsid w:val="002A7CB2"/>
    <w:pPr>
      <w:spacing w:before="5040"/>
      <w:jc w:val="center"/>
    </w:pPr>
    <w:rPr>
      <w:sz w:val="48"/>
      <w:szCs w:val="72"/>
      <w:lang w:val="en-US"/>
    </w:rPr>
  </w:style>
  <w:style w:type="character" w:customStyle="1" w:styleId="TitleChar">
    <w:name w:val="Title Char"/>
    <w:basedOn w:val="DefaultParagraphFont"/>
    <w:link w:val="Title"/>
    <w:rsid w:val="002A7C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7CB2"/>
    <w:pPr>
      <w:tabs>
        <w:tab w:val="left" w:pos="3600"/>
        <w:tab w:val="left" w:pos="3958"/>
      </w:tabs>
    </w:pPr>
  </w:style>
  <w:style w:type="paragraph" w:styleId="List">
    <w:name w:val="List"/>
    <w:basedOn w:val="BodyText"/>
    <w:next w:val="BodyText"/>
    <w:rsid w:val="002A7CB2"/>
    <w:pPr>
      <w:tabs>
        <w:tab w:val="left" w:pos="340"/>
      </w:tabs>
      <w:spacing w:before="60" w:after="60"/>
      <w:ind w:left="340" w:hanging="340"/>
    </w:pPr>
  </w:style>
  <w:style w:type="paragraph" w:customStyle="1" w:styleId="Note">
    <w:name w:val="Note"/>
    <w:basedOn w:val="BodyText"/>
    <w:rsid w:val="002A7C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7CB2"/>
    <w:pPr>
      <w:framePr w:wrap="auto" w:hAnchor="text" w:y="6049"/>
    </w:pPr>
    <w:rPr>
      <w:color w:val="000000"/>
      <w:sz w:val="40"/>
    </w:rPr>
  </w:style>
  <w:style w:type="paragraph" w:customStyle="1" w:styleId="TOCTitle">
    <w:name w:val="TOCTitle"/>
    <w:basedOn w:val="Heading1"/>
    <w:rsid w:val="002A7CB2"/>
    <w:pPr>
      <w:spacing w:after="240"/>
      <w:jc w:val="center"/>
      <w:outlineLvl w:val="9"/>
    </w:pPr>
    <w:rPr>
      <w:caps/>
    </w:rPr>
  </w:style>
  <w:style w:type="paragraph" w:customStyle="1" w:styleId="Version">
    <w:name w:val="Version"/>
    <w:rsid w:val="002A7C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7CB2"/>
    <w:pPr>
      <w:keepNext w:val="0"/>
      <w:tabs>
        <w:tab w:val="right" w:pos="4176"/>
      </w:tabs>
      <w:ind w:left="198" w:hanging="198"/>
    </w:pPr>
    <w:rPr>
      <w:rFonts w:ascii="Garamond" w:hAnsi="Garamond"/>
    </w:rPr>
  </w:style>
  <w:style w:type="paragraph" w:styleId="IndexHeading">
    <w:name w:val="index heading"/>
    <w:basedOn w:val="Normal"/>
    <w:next w:val="Index1"/>
    <w:semiHidden/>
    <w:rsid w:val="002A7CB2"/>
    <w:pPr>
      <w:spacing w:before="120" w:after="120"/>
    </w:pPr>
    <w:rPr>
      <w:rFonts w:ascii="Arial" w:hAnsi="Arial"/>
      <w:b/>
      <w:color w:val="918585"/>
      <w:sz w:val="24"/>
    </w:rPr>
  </w:style>
  <w:style w:type="paragraph" w:styleId="Header">
    <w:name w:val="header"/>
    <w:basedOn w:val="Normal"/>
    <w:link w:val="HeaderChar"/>
    <w:rsid w:val="002A7C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7CB2"/>
    <w:rPr>
      <w:rFonts w:ascii="Times New Roman" w:eastAsia="Times New Roman" w:hAnsi="Times New Roman" w:cs="Times New Roman"/>
      <w:sz w:val="16"/>
      <w:szCs w:val="20"/>
      <w:lang w:val="en-GB" w:eastAsia="en-US"/>
    </w:rPr>
  </w:style>
  <w:style w:type="paragraph" w:customStyle="1" w:styleId="Chapter">
    <w:name w:val="Chapter"/>
    <w:basedOn w:val="Normal"/>
    <w:rsid w:val="002A7CB2"/>
    <w:pPr>
      <w:spacing w:before="240"/>
    </w:pPr>
    <w:rPr>
      <w:rFonts w:ascii="Times New Roman" w:hAnsi="Times New Roman"/>
      <w:smallCaps/>
      <w:spacing w:val="80"/>
      <w:sz w:val="28"/>
    </w:rPr>
  </w:style>
  <w:style w:type="paragraph" w:customStyle="1" w:styleId="InChapter">
    <w:name w:val="InChapter"/>
    <w:basedOn w:val="Heading3"/>
    <w:rsid w:val="002A7CB2"/>
    <w:pPr>
      <w:spacing w:after="240"/>
      <w:outlineLvl w:val="9"/>
    </w:pPr>
    <w:rPr>
      <w:noProof/>
    </w:rPr>
  </w:style>
  <w:style w:type="paragraph" w:styleId="Index2">
    <w:name w:val="index 2"/>
    <w:basedOn w:val="Normal"/>
    <w:next w:val="Normal"/>
    <w:semiHidden/>
    <w:rsid w:val="002A7CB2"/>
    <w:pPr>
      <w:tabs>
        <w:tab w:val="right" w:pos="4176"/>
      </w:tabs>
      <w:ind w:left="568" w:hanging="284"/>
    </w:pPr>
    <w:rPr>
      <w:rFonts w:ascii="Garamond" w:hAnsi="Garamond"/>
    </w:rPr>
  </w:style>
  <w:style w:type="paragraph" w:customStyle="1" w:styleId="Byline">
    <w:name w:val="Byline"/>
    <w:rsid w:val="002A7C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7CB2"/>
    <w:pPr>
      <w:tabs>
        <w:tab w:val="clear" w:pos="3600"/>
        <w:tab w:val="clear" w:pos="3958"/>
      </w:tabs>
      <w:jc w:val="right"/>
    </w:pPr>
  </w:style>
  <w:style w:type="character" w:styleId="Emphasis">
    <w:name w:val="Emphasis"/>
    <w:basedOn w:val="DefaultParagraphFont"/>
    <w:qFormat/>
    <w:rsid w:val="002A7CB2"/>
    <w:rPr>
      <w:i/>
    </w:rPr>
  </w:style>
  <w:style w:type="paragraph" w:styleId="Caption">
    <w:name w:val="caption"/>
    <w:basedOn w:val="BodyText"/>
    <w:next w:val="Normal"/>
    <w:qFormat/>
    <w:rsid w:val="002A7CB2"/>
    <w:pPr>
      <w:framePr w:w="2268" w:hSpace="181" w:vSpace="181" w:wrap="around" w:vAnchor="text" w:hAnchor="page" w:x="1135" w:y="285" w:anchorLock="1"/>
    </w:pPr>
    <w:rPr>
      <w:i/>
    </w:rPr>
  </w:style>
  <w:style w:type="paragraph" w:customStyle="1" w:styleId="MiniTOCTitle">
    <w:name w:val="MiniTOCTitle"/>
    <w:basedOn w:val="Heading4"/>
    <w:rsid w:val="002A7CB2"/>
    <w:pPr>
      <w:spacing w:before="240"/>
      <w:outlineLvl w:val="9"/>
    </w:pPr>
    <w:rPr>
      <w:noProof/>
      <w:sz w:val="24"/>
    </w:rPr>
  </w:style>
  <w:style w:type="paragraph" w:customStyle="1" w:styleId="MiniTOCItem">
    <w:name w:val="MiniTOCItem"/>
    <w:basedOn w:val="ListBullet"/>
    <w:rsid w:val="002A7CB2"/>
    <w:pPr>
      <w:numPr>
        <w:numId w:val="0"/>
      </w:numPr>
      <w:tabs>
        <w:tab w:val="right" w:leader="dot" w:pos="6521"/>
      </w:tabs>
      <w:spacing w:before="0" w:after="0"/>
    </w:pPr>
  </w:style>
  <w:style w:type="paragraph" w:customStyle="1" w:styleId="TOFTitle">
    <w:name w:val="TOFTitle"/>
    <w:basedOn w:val="TOCTitle"/>
    <w:rsid w:val="002A7CB2"/>
  </w:style>
  <w:style w:type="paragraph" w:styleId="TableofFigures">
    <w:name w:val="table of figures"/>
    <w:basedOn w:val="Normal"/>
    <w:next w:val="Normal"/>
    <w:semiHidden/>
    <w:rsid w:val="002A7CB2"/>
    <w:pPr>
      <w:tabs>
        <w:tab w:val="right" w:leader="dot" w:pos="9072"/>
      </w:tabs>
      <w:ind w:left="970" w:hanging="403"/>
    </w:pPr>
    <w:rPr>
      <w:rFonts w:ascii="Times New Roman" w:hAnsi="Times New Roman"/>
      <w:b/>
    </w:rPr>
  </w:style>
  <w:style w:type="paragraph" w:styleId="ListNumber">
    <w:name w:val="List Number"/>
    <w:basedOn w:val="List"/>
    <w:rsid w:val="002A7CB2"/>
    <w:pPr>
      <w:numPr>
        <w:numId w:val="15"/>
      </w:numPr>
      <w:tabs>
        <w:tab w:val="clear" w:pos="340"/>
      </w:tabs>
    </w:pPr>
  </w:style>
  <w:style w:type="character" w:customStyle="1" w:styleId="WingdingSymbols">
    <w:name w:val="Wingding Symbols"/>
    <w:rsid w:val="002A7CB2"/>
    <w:rPr>
      <w:rFonts w:ascii="Wingdings" w:hAnsi="Wingdings"/>
    </w:rPr>
  </w:style>
  <w:style w:type="paragraph" w:customStyle="1" w:styleId="TableHeading">
    <w:name w:val="Table Heading"/>
    <w:basedOn w:val="HeadingBase"/>
    <w:rsid w:val="002A7CB2"/>
    <w:pPr>
      <w:keepLines/>
      <w:pBdr>
        <w:bottom w:val="single" w:sz="6" w:space="1" w:color="918585"/>
      </w:pBdr>
      <w:spacing w:before="240"/>
    </w:pPr>
  </w:style>
  <w:style w:type="character" w:customStyle="1" w:styleId="HotSpot">
    <w:name w:val="HotSpot"/>
    <w:rsid w:val="002A7CB2"/>
    <w:rPr>
      <w:color w:val="0033CC"/>
      <w:u w:val="none"/>
    </w:rPr>
  </w:style>
  <w:style w:type="paragraph" w:customStyle="1" w:styleId="BodyTextRight">
    <w:name w:val="Body Text Right"/>
    <w:basedOn w:val="BodyText"/>
    <w:rsid w:val="002A7CB2"/>
    <w:pPr>
      <w:spacing w:before="0" w:after="0"/>
      <w:jc w:val="right"/>
    </w:pPr>
  </w:style>
  <w:style w:type="paragraph" w:styleId="Index3">
    <w:name w:val="index 3"/>
    <w:basedOn w:val="ListNumber2"/>
    <w:next w:val="Normal"/>
    <w:semiHidden/>
    <w:rsid w:val="002A7CB2"/>
    <w:pPr>
      <w:numPr>
        <w:numId w:val="0"/>
      </w:numPr>
      <w:tabs>
        <w:tab w:val="right" w:leader="dot" w:pos="4176"/>
      </w:tabs>
    </w:pPr>
  </w:style>
  <w:style w:type="paragraph" w:styleId="ListNumber2">
    <w:name w:val="List Number 2"/>
    <w:basedOn w:val="List2"/>
    <w:rsid w:val="002A7CB2"/>
    <w:pPr>
      <w:numPr>
        <w:numId w:val="10"/>
      </w:numPr>
      <w:tabs>
        <w:tab w:val="clear" w:pos="1060"/>
      </w:tabs>
    </w:pPr>
  </w:style>
  <w:style w:type="paragraph" w:customStyle="1" w:styleId="MarginNote">
    <w:name w:val="Margin Note"/>
    <w:basedOn w:val="BodyText"/>
    <w:rsid w:val="002A7C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7C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7C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7CB2"/>
    <w:rPr>
      <w:sz w:val="32"/>
    </w:rPr>
  </w:style>
  <w:style w:type="paragraph" w:customStyle="1" w:styleId="HeadingProcedure">
    <w:name w:val="Heading Procedure"/>
    <w:basedOn w:val="HeadingBase"/>
    <w:next w:val="Normal"/>
    <w:rsid w:val="002A7CB2"/>
    <w:pPr>
      <w:tabs>
        <w:tab w:val="left" w:pos="0"/>
      </w:tabs>
      <w:spacing w:before="120" w:after="60"/>
    </w:pPr>
    <w:rPr>
      <w:i/>
      <w:color w:val="918585"/>
      <w:sz w:val="22"/>
    </w:rPr>
  </w:style>
  <w:style w:type="paragraph" w:customStyle="1" w:styleId="TableBodyText">
    <w:name w:val="Table Body Text"/>
    <w:basedOn w:val="BodyText"/>
    <w:rsid w:val="002A7CB2"/>
    <w:pPr>
      <w:spacing w:before="60" w:after="60"/>
    </w:pPr>
  </w:style>
  <w:style w:type="paragraph" w:styleId="ListContinue">
    <w:name w:val="List Continue"/>
    <w:basedOn w:val="List"/>
    <w:rsid w:val="002A7CB2"/>
    <w:pPr>
      <w:ind w:firstLine="0"/>
    </w:pPr>
  </w:style>
  <w:style w:type="paragraph" w:customStyle="1" w:styleId="ListNote">
    <w:name w:val="List Note"/>
    <w:basedOn w:val="List"/>
    <w:rsid w:val="002A7CB2"/>
    <w:pPr>
      <w:pBdr>
        <w:top w:val="single" w:sz="6" w:space="2" w:color="918585"/>
        <w:bottom w:val="single" w:sz="6" w:space="2" w:color="918585"/>
      </w:pBdr>
      <w:tabs>
        <w:tab w:val="left" w:pos="1021"/>
      </w:tabs>
      <w:ind w:firstLine="0"/>
    </w:pPr>
  </w:style>
  <w:style w:type="paragraph" w:customStyle="1" w:styleId="Warning">
    <w:name w:val="Warning"/>
    <w:basedOn w:val="BodyText"/>
    <w:rsid w:val="002A7CB2"/>
    <w:pPr>
      <w:shd w:val="clear" w:color="auto" w:fill="D9D9D9"/>
      <w:tabs>
        <w:tab w:val="left" w:pos="992"/>
      </w:tabs>
      <w:ind w:left="119" w:right="119"/>
    </w:pPr>
    <w:rPr>
      <w:sz w:val="20"/>
    </w:rPr>
  </w:style>
  <w:style w:type="paragraph" w:customStyle="1" w:styleId="MarginIcons">
    <w:name w:val="Margin Icons"/>
    <w:basedOn w:val="BodyText"/>
    <w:rsid w:val="002A7C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7CB2"/>
    <w:rPr>
      <w:rFonts w:ascii="Courier New" w:hAnsi="Courier New"/>
    </w:rPr>
  </w:style>
  <w:style w:type="paragraph" w:customStyle="1" w:styleId="NoteBullet">
    <w:name w:val="Note Bullet"/>
    <w:basedOn w:val="Note"/>
    <w:rsid w:val="002A7CB2"/>
    <w:pPr>
      <w:tabs>
        <w:tab w:val="clear" w:pos="680"/>
      </w:tabs>
      <w:spacing w:before="60" w:after="60"/>
    </w:pPr>
  </w:style>
  <w:style w:type="paragraph" w:customStyle="1" w:styleId="SubHeading2">
    <w:name w:val="SubHeading2"/>
    <w:basedOn w:val="HeadingBase"/>
    <w:rsid w:val="002A7CB2"/>
    <w:pPr>
      <w:spacing w:before="240" w:after="60"/>
    </w:pPr>
    <w:rPr>
      <w:sz w:val="20"/>
    </w:rPr>
  </w:style>
  <w:style w:type="paragraph" w:customStyle="1" w:styleId="SubHeading1">
    <w:name w:val="SubHeading1"/>
    <w:basedOn w:val="HeadingBase"/>
    <w:rsid w:val="002A7CB2"/>
    <w:pPr>
      <w:spacing w:before="240" w:after="60"/>
    </w:pPr>
    <w:rPr>
      <w:color w:val="918585"/>
      <w:sz w:val="22"/>
    </w:rPr>
  </w:style>
  <w:style w:type="paragraph" w:customStyle="1" w:styleId="SideHeading">
    <w:name w:val="Side Heading"/>
    <w:basedOn w:val="HeadingBase"/>
    <w:rsid w:val="002A7C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7CB2"/>
    <w:pPr>
      <w:tabs>
        <w:tab w:val="num" w:pos="360"/>
      </w:tabs>
    </w:pPr>
  </w:style>
  <w:style w:type="paragraph" w:styleId="PlainText">
    <w:name w:val="Plain Text"/>
    <w:basedOn w:val="Normal"/>
    <w:link w:val="PlainTextChar"/>
    <w:rsid w:val="002A7CB2"/>
    <w:rPr>
      <w:sz w:val="20"/>
    </w:rPr>
  </w:style>
  <w:style w:type="character" w:customStyle="1" w:styleId="PlainTextChar">
    <w:name w:val="Plain Text Char"/>
    <w:basedOn w:val="DefaultParagraphFont"/>
    <w:link w:val="PlainText"/>
    <w:rsid w:val="002A7CB2"/>
    <w:rPr>
      <w:rFonts w:ascii="Courier New" w:eastAsia="Times New Roman" w:hAnsi="Courier New" w:cs="Times New Roman"/>
      <w:sz w:val="20"/>
      <w:szCs w:val="20"/>
      <w:lang w:eastAsia="en-US"/>
    </w:rPr>
  </w:style>
  <w:style w:type="character" w:customStyle="1" w:styleId="MenuOption">
    <w:name w:val="Menu Option"/>
    <w:basedOn w:val="DefaultParagraphFont"/>
    <w:rsid w:val="002A7CB2"/>
    <w:rPr>
      <w:b/>
      <w:smallCaps/>
    </w:rPr>
  </w:style>
  <w:style w:type="paragraph" w:customStyle="1" w:styleId="TableListNumber">
    <w:name w:val="Table List Number"/>
    <w:basedOn w:val="ListNumber"/>
    <w:rsid w:val="002A7CB2"/>
    <w:pPr>
      <w:numPr>
        <w:numId w:val="0"/>
      </w:numPr>
    </w:pPr>
  </w:style>
  <w:style w:type="paragraph" w:styleId="TOC4">
    <w:name w:val="toc 4"/>
    <w:basedOn w:val="TOCBase"/>
    <w:next w:val="Normal"/>
    <w:semiHidden/>
    <w:rsid w:val="002A7CB2"/>
    <w:pPr>
      <w:tabs>
        <w:tab w:val="right" w:leader="dot" w:pos="9071"/>
      </w:tabs>
      <w:ind w:left="1701"/>
    </w:pPr>
  </w:style>
  <w:style w:type="paragraph" w:customStyle="1" w:styleId="ListAlpha">
    <w:name w:val="List Alpha"/>
    <w:basedOn w:val="List"/>
    <w:rsid w:val="002A7CB2"/>
    <w:pPr>
      <w:numPr>
        <w:numId w:val="9"/>
      </w:numPr>
    </w:pPr>
  </w:style>
  <w:style w:type="paragraph" w:customStyle="1" w:styleId="ListAlpha2">
    <w:name w:val="List Alpha 2"/>
    <w:basedOn w:val="List2"/>
    <w:rsid w:val="002A7CB2"/>
    <w:pPr>
      <w:numPr>
        <w:numId w:val="8"/>
      </w:numPr>
    </w:pPr>
  </w:style>
  <w:style w:type="paragraph" w:styleId="List2">
    <w:name w:val="List 2"/>
    <w:basedOn w:val="BodyText"/>
    <w:rsid w:val="002A7CB2"/>
    <w:pPr>
      <w:tabs>
        <w:tab w:val="left" w:pos="680"/>
      </w:tabs>
      <w:spacing w:before="60" w:after="60"/>
      <w:ind w:left="680" w:hanging="340"/>
    </w:pPr>
  </w:style>
  <w:style w:type="paragraph" w:styleId="List3">
    <w:name w:val="List 3"/>
    <w:basedOn w:val="BodyText"/>
    <w:rsid w:val="002A7CB2"/>
    <w:pPr>
      <w:tabs>
        <w:tab w:val="left" w:pos="1021"/>
      </w:tabs>
      <w:spacing w:before="60" w:after="60"/>
      <w:ind w:left="1020" w:hanging="340"/>
    </w:pPr>
  </w:style>
  <w:style w:type="paragraph" w:styleId="List4">
    <w:name w:val="List 4"/>
    <w:basedOn w:val="BodyText"/>
    <w:rsid w:val="002A7CB2"/>
    <w:pPr>
      <w:tabs>
        <w:tab w:val="left" w:pos="1361"/>
      </w:tabs>
      <w:spacing w:before="60" w:after="60"/>
      <w:ind w:left="1361" w:hanging="340"/>
    </w:pPr>
  </w:style>
  <w:style w:type="paragraph" w:styleId="List5">
    <w:name w:val="List 5"/>
    <w:basedOn w:val="BodyText"/>
    <w:rsid w:val="002A7CB2"/>
    <w:pPr>
      <w:tabs>
        <w:tab w:val="left" w:pos="1701"/>
      </w:tabs>
      <w:spacing w:before="60" w:after="60"/>
      <w:ind w:left="1701" w:hanging="340"/>
    </w:pPr>
  </w:style>
  <w:style w:type="paragraph" w:styleId="ListBullet3">
    <w:name w:val="List Bullet 3"/>
    <w:basedOn w:val="List3"/>
    <w:rsid w:val="002A7CB2"/>
    <w:pPr>
      <w:numPr>
        <w:numId w:val="14"/>
      </w:numPr>
      <w:tabs>
        <w:tab w:val="clear" w:pos="1021"/>
      </w:tabs>
      <w:ind w:left="1037" w:hanging="357"/>
    </w:pPr>
  </w:style>
  <w:style w:type="paragraph" w:styleId="ListBullet4">
    <w:name w:val="List Bullet 4"/>
    <w:basedOn w:val="List4"/>
    <w:rsid w:val="002A7CB2"/>
    <w:pPr>
      <w:numPr>
        <w:numId w:val="3"/>
      </w:numPr>
      <w:tabs>
        <w:tab w:val="clear" w:pos="1361"/>
      </w:tabs>
    </w:pPr>
  </w:style>
  <w:style w:type="paragraph" w:styleId="ListBullet5">
    <w:name w:val="List Bullet 5"/>
    <w:basedOn w:val="List5"/>
    <w:rsid w:val="002A7CB2"/>
    <w:pPr>
      <w:numPr>
        <w:numId w:val="4"/>
      </w:numPr>
    </w:pPr>
  </w:style>
  <w:style w:type="paragraph" w:styleId="ListContinue2">
    <w:name w:val="List Continue 2"/>
    <w:basedOn w:val="List2"/>
    <w:rsid w:val="002A7CB2"/>
    <w:pPr>
      <w:ind w:firstLine="0"/>
    </w:pPr>
  </w:style>
  <w:style w:type="paragraph" w:styleId="ListContinue3">
    <w:name w:val="List Continue 3"/>
    <w:basedOn w:val="List3"/>
    <w:rsid w:val="002A7CB2"/>
    <w:pPr>
      <w:ind w:left="1021" w:firstLine="0"/>
    </w:pPr>
  </w:style>
  <w:style w:type="paragraph" w:styleId="ListContinue4">
    <w:name w:val="List Continue 4"/>
    <w:basedOn w:val="List4"/>
    <w:rsid w:val="002A7CB2"/>
    <w:pPr>
      <w:ind w:firstLine="0"/>
    </w:pPr>
  </w:style>
  <w:style w:type="paragraph" w:styleId="ListContinue5">
    <w:name w:val="List Continue 5"/>
    <w:basedOn w:val="List5"/>
    <w:rsid w:val="002A7CB2"/>
    <w:pPr>
      <w:ind w:firstLine="0"/>
    </w:pPr>
  </w:style>
  <w:style w:type="paragraph" w:styleId="ListNumber3">
    <w:name w:val="List Number 3"/>
    <w:basedOn w:val="List3"/>
    <w:rsid w:val="002A7CB2"/>
    <w:pPr>
      <w:numPr>
        <w:numId w:val="5"/>
      </w:numPr>
    </w:pPr>
  </w:style>
  <w:style w:type="paragraph" w:styleId="ListNumber4">
    <w:name w:val="List Number 4"/>
    <w:basedOn w:val="List4"/>
    <w:rsid w:val="002A7CB2"/>
    <w:pPr>
      <w:numPr>
        <w:numId w:val="6"/>
      </w:numPr>
    </w:pPr>
  </w:style>
  <w:style w:type="paragraph" w:styleId="ListNumber5">
    <w:name w:val="List Number 5"/>
    <w:basedOn w:val="List5"/>
    <w:rsid w:val="002A7CB2"/>
    <w:pPr>
      <w:numPr>
        <w:numId w:val="7"/>
      </w:numPr>
    </w:pPr>
  </w:style>
  <w:style w:type="paragraph" w:styleId="BlockText">
    <w:name w:val="Block Text"/>
    <w:basedOn w:val="Normal"/>
    <w:rsid w:val="002A7CB2"/>
    <w:pPr>
      <w:spacing w:after="120"/>
      <w:ind w:left="1440" w:right="1440"/>
    </w:pPr>
  </w:style>
  <w:style w:type="character" w:customStyle="1" w:styleId="Subscript">
    <w:name w:val="Subscript"/>
    <w:basedOn w:val="DefaultParagraphFont"/>
    <w:rsid w:val="002A7CB2"/>
    <w:rPr>
      <w:sz w:val="16"/>
      <w:vertAlign w:val="subscript"/>
    </w:rPr>
  </w:style>
  <w:style w:type="character" w:customStyle="1" w:styleId="Superscript">
    <w:name w:val="Superscript"/>
    <w:basedOn w:val="DefaultParagraphFont"/>
    <w:rsid w:val="002A7CB2"/>
    <w:rPr>
      <w:sz w:val="16"/>
      <w:vertAlign w:val="superscript"/>
    </w:rPr>
  </w:style>
  <w:style w:type="character" w:customStyle="1" w:styleId="MenuOptions">
    <w:name w:val="Menu Options"/>
    <w:basedOn w:val="DefaultParagraphFont"/>
    <w:rsid w:val="002A7CB2"/>
    <w:rPr>
      <w:rFonts w:ascii="Arial Narrow" w:hAnsi="Arial Narrow"/>
      <w:smallCaps/>
    </w:rPr>
  </w:style>
  <w:style w:type="character" w:customStyle="1" w:styleId="Buttons">
    <w:name w:val="Buttons"/>
    <w:basedOn w:val="DefaultParagraphFont"/>
    <w:rsid w:val="002A7CB2"/>
    <w:rPr>
      <w:b/>
    </w:rPr>
  </w:style>
  <w:style w:type="character" w:customStyle="1" w:styleId="Underlined">
    <w:name w:val="Underlined"/>
    <w:basedOn w:val="DefaultParagraphFont"/>
    <w:rsid w:val="002A7CB2"/>
    <w:rPr>
      <w:u w:val="single"/>
    </w:rPr>
  </w:style>
  <w:style w:type="paragraph" w:customStyle="1" w:styleId="TableBodyTextRight">
    <w:name w:val="Table Body Text Right"/>
    <w:basedOn w:val="TableBodyText"/>
    <w:rsid w:val="002A7CB2"/>
    <w:pPr>
      <w:widowControl w:val="0"/>
      <w:autoSpaceDE w:val="0"/>
      <w:autoSpaceDN w:val="0"/>
      <w:adjustRightInd w:val="0"/>
      <w:jc w:val="right"/>
    </w:pPr>
    <w:rPr>
      <w:rFonts w:cs="Arial"/>
      <w:szCs w:val="18"/>
    </w:rPr>
  </w:style>
  <w:style w:type="paragraph" w:customStyle="1" w:styleId="CopyrightText">
    <w:name w:val="Copyright Text"/>
    <w:basedOn w:val="BodyText"/>
    <w:rsid w:val="002A7CB2"/>
    <w:rPr>
      <w:sz w:val="18"/>
    </w:rPr>
  </w:style>
  <w:style w:type="paragraph" w:customStyle="1" w:styleId="BodySmallRight">
    <w:name w:val="Body Small Right"/>
    <w:basedOn w:val="BodyTextRight"/>
    <w:rsid w:val="002A7CB2"/>
    <w:rPr>
      <w:sz w:val="18"/>
      <w:szCs w:val="18"/>
    </w:rPr>
  </w:style>
  <w:style w:type="paragraph" w:customStyle="1" w:styleId="MarginEdition">
    <w:name w:val="Margin Edition"/>
    <w:basedOn w:val="MarginNote"/>
    <w:rsid w:val="002A7CB2"/>
    <w:pPr>
      <w:spacing w:before="0" w:after="0"/>
    </w:pPr>
    <w:rPr>
      <w:rFonts w:ascii="Times New Roman" w:hAnsi="Times New Roman"/>
      <w:color w:val="999999"/>
    </w:rPr>
  </w:style>
  <w:style w:type="paragraph" w:customStyle="1" w:styleId="Spacer">
    <w:name w:val="Spacer"/>
    <w:basedOn w:val="Normal"/>
    <w:rsid w:val="002A7CB2"/>
    <w:rPr>
      <w:sz w:val="2"/>
      <w:szCs w:val="2"/>
    </w:rPr>
  </w:style>
  <w:style w:type="character" w:customStyle="1" w:styleId="Small">
    <w:name w:val="Small"/>
    <w:basedOn w:val="DefaultParagraphFont"/>
    <w:rsid w:val="002A7CB2"/>
    <w:rPr>
      <w:sz w:val="16"/>
    </w:rPr>
  </w:style>
  <w:style w:type="paragraph" w:customStyle="1" w:styleId="WideTable">
    <w:name w:val="Wide Table"/>
    <w:basedOn w:val="Normal"/>
    <w:rsid w:val="002A7CB2"/>
    <w:pPr>
      <w:ind w:left="-1418"/>
    </w:pPr>
    <w:rPr>
      <w:sz w:val="2"/>
      <w:szCs w:val="2"/>
    </w:rPr>
  </w:style>
  <w:style w:type="character" w:styleId="PageNumber">
    <w:name w:val="page number"/>
    <w:basedOn w:val="DefaultParagraphFont"/>
    <w:rsid w:val="002A7CB2"/>
  </w:style>
  <w:style w:type="paragraph" w:styleId="Quote">
    <w:name w:val="Quote"/>
    <w:basedOn w:val="Heading1"/>
    <w:link w:val="QuoteChar"/>
    <w:qFormat/>
    <w:rsid w:val="002A7CB2"/>
    <w:rPr>
      <w:b w:val="0"/>
      <w:sz w:val="72"/>
      <w:szCs w:val="72"/>
      <w:lang w:val="en-NZ"/>
    </w:rPr>
  </w:style>
  <w:style w:type="character" w:customStyle="1" w:styleId="QuoteChar">
    <w:name w:val="Quote Char"/>
    <w:basedOn w:val="DefaultParagraphFont"/>
    <w:link w:val="Quote"/>
    <w:rsid w:val="002A7C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7CB2"/>
    <w:pPr>
      <w:pageBreakBefore/>
    </w:pPr>
  </w:style>
  <w:style w:type="paragraph" w:customStyle="1" w:styleId="Border">
    <w:name w:val="Border"/>
    <w:basedOn w:val="Normal"/>
    <w:qFormat/>
    <w:rsid w:val="002A7C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7CB2"/>
    <w:rPr>
      <w:b/>
      <w:bCs/>
      <w:i/>
      <w:iCs/>
      <w:color w:val="auto"/>
    </w:rPr>
  </w:style>
  <w:style w:type="paragraph" w:styleId="IntenseQuote">
    <w:name w:val="Intense Quote"/>
    <w:basedOn w:val="Normal"/>
    <w:next w:val="Normal"/>
    <w:link w:val="IntenseQuoteChar"/>
    <w:uiPriority w:val="30"/>
    <w:qFormat/>
    <w:rsid w:val="002A7C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7C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7CB2"/>
    <w:rPr>
      <w:smallCaps/>
      <w:color w:val="auto"/>
      <w:u w:val="single"/>
    </w:rPr>
  </w:style>
  <w:style w:type="character" w:styleId="IntenseReference">
    <w:name w:val="Intense Reference"/>
    <w:basedOn w:val="DefaultParagraphFont"/>
    <w:uiPriority w:val="32"/>
    <w:qFormat/>
    <w:rsid w:val="002A7CB2"/>
    <w:rPr>
      <w:b/>
      <w:bCs/>
      <w:smallCaps/>
      <w:color w:val="auto"/>
      <w:spacing w:val="5"/>
      <w:u w:val="single"/>
    </w:rPr>
  </w:style>
  <w:style w:type="paragraph" w:customStyle="1" w:styleId="2ColumnHeading">
    <w:name w:val="2Column Heading"/>
    <w:basedOn w:val="BodyText"/>
    <w:qFormat/>
    <w:rsid w:val="002A7CB2"/>
    <w:pPr>
      <w:spacing w:after="60"/>
      <w:ind w:left="-2268"/>
    </w:pPr>
    <w:rPr>
      <w:b/>
    </w:rPr>
  </w:style>
  <w:style w:type="paragraph" w:customStyle="1" w:styleId="Heading1TOC">
    <w:name w:val="Heading1 TOC"/>
    <w:basedOn w:val="Normal"/>
    <w:qFormat/>
    <w:rsid w:val="002A7CB2"/>
    <w:pPr>
      <w:spacing w:before="240" w:after="120"/>
    </w:pPr>
    <w:rPr>
      <w:rFonts w:ascii="Times New Roman" w:hAnsi="Times New Roman"/>
      <w:b/>
      <w:sz w:val="32"/>
    </w:rPr>
  </w:style>
  <w:style w:type="paragraph" w:customStyle="1" w:styleId="Heading2TOC">
    <w:name w:val="Heading2 TOC"/>
    <w:basedOn w:val="Normal"/>
    <w:qFormat/>
    <w:rsid w:val="002A7CB2"/>
    <w:pPr>
      <w:spacing w:before="240" w:after="60"/>
    </w:pPr>
    <w:rPr>
      <w:rFonts w:ascii="Times New Roman" w:hAnsi="Times New Roman"/>
      <w:b/>
      <w:sz w:val="28"/>
    </w:rPr>
  </w:style>
  <w:style w:type="character" w:customStyle="1" w:styleId="Underline">
    <w:name w:val="Underline"/>
    <w:basedOn w:val="DefaultParagraphFont"/>
    <w:qFormat/>
    <w:rsid w:val="002A7CB2"/>
    <w:rPr>
      <w:u w:val="single"/>
    </w:rPr>
  </w:style>
  <w:style w:type="character" w:customStyle="1" w:styleId="BoldandItalics">
    <w:name w:val="Bold and Italics"/>
    <w:qFormat/>
    <w:rsid w:val="002A7CB2"/>
    <w:rPr>
      <w:b/>
      <w:i/>
      <w:u w:val="none"/>
    </w:rPr>
  </w:style>
  <w:style w:type="paragraph" w:styleId="BalloonText">
    <w:name w:val="Balloon Text"/>
    <w:basedOn w:val="Normal"/>
    <w:link w:val="BalloonTextChar"/>
    <w:rsid w:val="002A7CB2"/>
    <w:rPr>
      <w:rFonts w:ascii="Tahoma" w:hAnsi="Tahoma" w:cs="Tahoma"/>
      <w:sz w:val="16"/>
      <w:szCs w:val="16"/>
    </w:rPr>
  </w:style>
  <w:style w:type="character" w:customStyle="1" w:styleId="BalloonTextChar">
    <w:name w:val="Balloon Text Char"/>
    <w:basedOn w:val="DefaultParagraphFont"/>
    <w:link w:val="BalloonText"/>
    <w:rsid w:val="002A7C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7C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7C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7CB2"/>
    <w:rPr>
      <w:b/>
      <w:color w:val="660033"/>
      <w:spacing w:val="0"/>
    </w:rPr>
  </w:style>
  <w:style w:type="paragraph" w:customStyle="1" w:styleId="Nameditemlist">
    <w:name w:val="Named item list"/>
    <w:basedOn w:val="BodyText"/>
    <w:qFormat/>
    <w:rsid w:val="002A7CB2"/>
    <w:pPr>
      <w:tabs>
        <w:tab w:val="left" w:pos="2835"/>
      </w:tabs>
      <w:ind w:left="2835" w:hanging="2835"/>
    </w:pPr>
  </w:style>
  <w:style w:type="paragraph" w:customStyle="1" w:styleId="BodyTextnopadding">
    <w:name w:val="Body Text no padding"/>
    <w:basedOn w:val="BodyText"/>
    <w:qFormat/>
    <w:rsid w:val="002A7CB2"/>
    <w:pPr>
      <w:spacing w:before="0" w:after="0"/>
    </w:pPr>
  </w:style>
  <w:style w:type="paragraph" w:customStyle="1" w:styleId="BodyTextBold">
    <w:name w:val="Body Text Bold"/>
    <w:basedOn w:val="BodyText"/>
    <w:qFormat/>
    <w:rsid w:val="002A7CB2"/>
    <w:rPr>
      <w:b/>
    </w:rPr>
  </w:style>
  <w:style w:type="character" w:styleId="Hyperlink">
    <w:name w:val="Hyperlink"/>
    <w:basedOn w:val="DefaultParagraphFont"/>
    <w:uiPriority w:val="99"/>
    <w:unhideWhenUsed/>
    <w:rsid w:val="00AA6C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2088</Words>
  <Characters>14159</Characters>
  <Application>Microsoft Office Word</Application>
  <DocSecurity>0</DocSecurity>
  <Lines>456</Lines>
  <Paragraphs>238</Paragraphs>
  <ScaleCrop>false</ScaleCrop>
  <Company>Author-it Software Corporation Ltd.</Company>
  <LinksUpToDate>false</LinksUpToDate>
  <CharactersWithSpaces>16009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MSL974009 Undertake field-based, remote-sensing monitoring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2025-03-01T13:15:00Z</dcterms:created>
  <dcterms:modified xsi:type="dcterms:W3CDTF">2025-03-01T13:15:00Z</dcterms:modified>
</cp:coreProperties>
</file>