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B39" w:rsidP="00C70B39">
      <w:pPr>
        <w:pStyle w:val="Title"/>
      </w:pPr>
      <w:r>
        <w:fldChar w:fldCharType="begin"/>
      </w:r>
      <w:r>
        <w:instrText xml:space="preserve"> TITLE   \* MERGEFORMAT </w:instrText>
      </w:r>
      <w:r>
        <w:fldChar w:fldCharType="separate"/>
      </w:r>
      <w:r>
        <w:t>MSL974001 Prepare, standardise and use solutions</w:t>
      </w:r>
      <w:r>
        <w:fldChar w:fldCharType="end"/>
      </w:r>
    </w:p>
    <w:p w:rsidR="00C70B39" w:rsidP="00C70B39">
      <w:pPr>
        <w:pStyle w:val="Version"/>
        <w:sectPr w:rsidSect="00750B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B24" w:rsidP="00750B24">
      <w:pPr>
        <w:pStyle w:val="SuperHeading"/>
      </w:pPr>
      <w:r w:rsidRPr="00750B24">
        <w:t>MSL974001 Prepare, standardise and use solutions</w:t>
      </w:r>
    </w:p>
    <w:p w:rsidR="00000000" w:rsidRPr="00750B24" w:rsidP="00750B24">
      <w:pPr>
        <w:pStyle w:val="Heading1"/>
      </w:pPr>
      <w:bookmarkStart w:id="1" w:name="O_899393"/>
      <w:bookmarkEnd w:id="1"/>
      <w:r w:rsidRPr="00750B24">
        <w:t>Modification History</w:t>
      </w:r>
    </w:p>
    <w:p w:rsidR="00000000" w:rsidRPr="00750B24" w:rsidP="00750B24">
      <w:pPr>
        <w:pStyle w:val="BodyText"/>
      </w:pPr>
      <w:r w:rsidRPr="00750B24">
        <w:t xml:space="preserve">Release 1. Supersedes and is equivalent to MSL974001A Prepare, standardise and use solutions  </w:t>
      </w:r>
    </w:p>
    <w:p w:rsidR="00000000" w:rsidRPr="00750B24" w:rsidP="00750B24">
      <w:pPr>
        <w:pStyle w:val="AllowPageBreak"/>
      </w:pPr>
    </w:p>
    <w:p w:rsidR="00000000" w:rsidRPr="00750B24" w:rsidP="00750B24">
      <w:pPr>
        <w:pStyle w:val="Heading1"/>
      </w:pPr>
      <w:bookmarkStart w:id="2" w:name="O_899401"/>
      <w:bookmarkEnd w:id="2"/>
      <w:r w:rsidRPr="00750B24">
        <w:t>Application</w:t>
      </w:r>
    </w:p>
    <w:p w:rsidR="00000000" w:rsidRPr="00750B24" w:rsidP="00750B24">
      <w:pPr>
        <w:pStyle w:val="BodyText"/>
      </w:pPr>
      <w:r w:rsidRPr="00750B24">
        <w:t>This unit of competency covers the ability to prepare, standardise and monitor the quality of solutions</w:t>
      </w:r>
      <w:r w:rsidRPr="00750B24">
        <w:t>.</w:t>
      </w:r>
    </w:p>
    <w:p w:rsidR="00000000" w:rsidRPr="00750B24" w:rsidP="00750B24">
      <w:pPr>
        <w:pStyle w:val="BodyText"/>
      </w:pPr>
    </w:p>
    <w:p w:rsidR="00000000" w:rsidRPr="00750B24" w:rsidP="00750B24">
      <w:pPr>
        <w:pStyle w:val="BodyText"/>
      </w:pPr>
      <w:r w:rsidRPr="00750B24">
        <w:t>This unit of competency is applicable to laboratory technicians working in all industry sectors.</w:t>
      </w:r>
    </w:p>
    <w:p w:rsidR="00000000" w:rsidRPr="00750B24" w:rsidP="00750B24">
      <w:pPr>
        <w:pStyle w:val="BodyText"/>
      </w:pPr>
    </w:p>
    <w:p w:rsidR="00000000" w:rsidRPr="00750B24" w:rsidP="00750B24">
      <w:pPr>
        <w:pStyle w:val="BodyText"/>
      </w:pPr>
      <w:r w:rsidRPr="00750B24">
        <w:t>While no specific licensing or certification requirements apply to this unit at the time of publication, laboratory operations are governed by relevant leg</w:t>
      </w:r>
      <w:r w:rsidRPr="00750B24">
        <w:t>islation, regulations and/or external accreditation requirements. Local requirements should be checked.</w:t>
      </w:r>
    </w:p>
    <w:p w:rsidR="00000000" w:rsidRPr="00750B24" w:rsidP="00750B24">
      <w:pPr>
        <w:pStyle w:val="AllowPageBreak"/>
      </w:pPr>
    </w:p>
    <w:p w:rsidR="00000000" w:rsidRPr="00750B24" w:rsidP="00750B24">
      <w:pPr>
        <w:pStyle w:val="Heading1"/>
      </w:pPr>
      <w:bookmarkStart w:id="3" w:name="O_899400"/>
      <w:bookmarkEnd w:id="3"/>
      <w:r w:rsidRPr="00750B24">
        <w:t>Pre-requisite Unit</w:t>
      </w:r>
    </w:p>
    <w:p w:rsidR="00000000" w:rsidRPr="00750B24" w:rsidP="00750B24">
      <w:pPr>
        <w:pStyle w:val="BodyText"/>
      </w:pPr>
      <w:r w:rsidRPr="00750B24">
        <w:t>Nil</w:t>
      </w:r>
    </w:p>
    <w:p w:rsidR="00000000" w:rsidRPr="00750B24" w:rsidP="00750B24">
      <w:pPr>
        <w:pStyle w:val="AllowPageBreak"/>
      </w:pPr>
    </w:p>
    <w:p w:rsidR="00000000" w:rsidRPr="00750B24" w:rsidP="00750B24">
      <w:pPr>
        <w:pStyle w:val="Heading1"/>
      </w:pPr>
      <w:bookmarkStart w:id="4" w:name="O_899399"/>
      <w:bookmarkEnd w:id="4"/>
      <w:r w:rsidRPr="00750B24">
        <w:t>Competency Field</w:t>
      </w:r>
    </w:p>
    <w:p w:rsidR="00000000" w:rsidRPr="00750B24" w:rsidP="00750B24">
      <w:pPr>
        <w:pStyle w:val="BodyText"/>
      </w:pPr>
      <w:r w:rsidRPr="00750B24">
        <w:t>Testing</w:t>
      </w:r>
    </w:p>
    <w:p w:rsidR="00000000" w:rsidRPr="00750B24" w:rsidP="00750B24">
      <w:pPr>
        <w:pStyle w:val="AllowPageBreak"/>
      </w:pPr>
    </w:p>
    <w:p w:rsidR="00000000" w:rsidRPr="00750B24" w:rsidP="00750B24">
      <w:pPr>
        <w:pStyle w:val="Heading1"/>
      </w:pPr>
      <w:bookmarkStart w:id="5" w:name="O_899398"/>
      <w:bookmarkEnd w:id="5"/>
      <w:r w:rsidRPr="00750B24">
        <w:t>Unit Sector</w:t>
      </w:r>
    </w:p>
    <w:p w:rsidR="00000000" w:rsidRPr="00750B24" w:rsidP="00750B24">
      <w:pPr>
        <w:pStyle w:val="Heading1"/>
      </w:pPr>
      <w:bookmarkStart w:id="6" w:name="O_899397"/>
      <w:bookmarkEnd w:id="6"/>
      <w:r w:rsidRPr="00750B24">
        <w:t xml:space="preserve">Elements and Performance </w:t>
      </w:r>
      <w:r w:rsidRPr="00750B24">
        <w:t>Criteria</w:t>
      </w:r>
    </w:p>
    <w:tbl>
      <w:tblPr>
        <w:tblW w:w="0" w:type="auto"/>
        <w:tblLayout w:type="fixed"/>
        <w:tblCellMar>
          <w:left w:w="62" w:type="dxa"/>
          <w:right w:w="62" w:type="dxa"/>
        </w:tblCellMar>
        <w:tblLook w:val="0000"/>
      </w:tblPr>
      <w:tblGrid>
        <w:gridCol w:w="678"/>
        <w:gridCol w:w="1962"/>
        <w:gridCol w:w="770"/>
        <w:gridCol w:w="5610"/>
      </w:tblGrid>
      <w:tr w:rsidTr="00750B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Performance criteria describe the performance needed to demonstrate achievement of the element.</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1</w:t>
            </w:r>
          </w:p>
        </w:tc>
        <w:tc>
          <w:tcPr>
            <w:tcW w:w="1962" w:type="dxa"/>
            <w:vMerge w:val="restart"/>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rPr>
                <w:rStyle w:val="SpecialBold"/>
              </w:rPr>
              <w:t>Prepare solutions</w:t>
            </w: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1.1</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Select appropriate procedure for solution preparation</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1.2</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Select equipment, materials and solvent of specified purity</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1.3</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Measure appropriate quantities of reagents for solution preparation and record data.</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1.4</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Select and assemble specified laboratory equipment and appropriate grade of glassware</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1.5</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Perform specified dilutions</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1.6</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Prepare solutions to achieve homogeneous mix of the specified concentration</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1.7</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Label and store solutions to maintain identity and stability</w:t>
            </w:r>
          </w:p>
        </w:tc>
      </w:tr>
      <w:tr w:rsidTr="00750B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0B24">
            <w:pPr>
              <w:pStyle w:val="BodyText"/>
              <w:rPr>
                <w:lang w:val="en-NZ"/>
              </w:rPr>
            </w:pP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2</w:t>
            </w:r>
          </w:p>
        </w:tc>
        <w:tc>
          <w:tcPr>
            <w:tcW w:w="1962" w:type="dxa"/>
            <w:vMerge w:val="restart"/>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rPr>
                <w:rStyle w:val="SpecialBold"/>
              </w:rPr>
              <w:t>Standardise and use volumetric solutions</w:t>
            </w: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2.1</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Assemble appropriate laboratory equipment</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2.2</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Perform serial dilutions as required</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2.3</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Standardise the solution to the required specified range and precision</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2.4</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Label and store solutions to maintain identity and stability</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2.5</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Use standard volumetric solutions to determine concentration of unknown solutions</w:t>
            </w:r>
          </w:p>
        </w:tc>
      </w:tr>
      <w:tr w:rsidTr="00750B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0B24">
            <w:pPr>
              <w:pStyle w:val="BodyText"/>
              <w:rPr>
                <w:lang w:val="en-NZ"/>
              </w:rPr>
            </w:pP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3</w:t>
            </w:r>
          </w:p>
        </w:tc>
        <w:tc>
          <w:tcPr>
            <w:tcW w:w="1962" w:type="dxa"/>
            <w:vMerge w:val="restart"/>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rPr>
                <w:rStyle w:val="SpecialBold"/>
              </w:rPr>
              <w:t>Calculate and record data</w:t>
            </w: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3.1</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Calculate specified concentrations</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3.2</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Use authorised procedure if data is to be modified</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3.3</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Estimate and document uncertainty of measurement in accordance with workplace procedures, as required</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3.4</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Record all relevant details according to laboratory procedures and report results</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3.5</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Report concentration with appropriate units</w:t>
            </w:r>
          </w:p>
        </w:tc>
      </w:tr>
      <w:tr w:rsidTr="00750B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0B24">
            <w:pPr>
              <w:pStyle w:val="BodyText"/>
              <w:rPr>
                <w:lang w:val="en-NZ"/>
              </w:rPr>
            </w:pP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4</w:t>
            </w:r>
          </w:p>
        </w:tc>
        <w:tc>
          <w:tcPr>
            <w:tcW w:w="1962" w:type="dxa"/>
            <w:vMerge w:val="restart"/>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rPr>
                <w:rStyle w:val="SpecialBold"/>
              </w:rPr>
              <w:t>Monitor the quality of laboratory solutions</w:t>
            </w: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4.1</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Check solutions for visual deterioration and expiry date</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4.2</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Re-standardise or dispose of dated or deteriorated solutions</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4.3</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Record details and label solutions according to laboratory procedures</w:t>
            </w:r>
          </w:p>
        </w:tc>
      </w:tr>
      <w:tr w:rsidTr="00750B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0B24">
            <w:pPr>
              <w:pStyle w:val="BodyText"/>
              <w:rPr>
                <w:lang w:val="en-NZ"/>
              </w:rPr>
            </w:pP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5</w:t>
            </w:r>
          </w:p>
        </w:tc>
        <w:tc>
          <w:tcPr>
            <w:tcW w:w="1962" w:type="dxa"/>
            <w:vMerge w:val="restart"/>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5.1</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Use established safe work practices and personal protective equipment (PPE) to ensure personal safety and that of other laboratory personnel</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5.2</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Clean up spills using appropriate techniques to protect personnel, wo</w:t>
            </w:r>
            <w:r w:rsidRPr="00750B24">
              <w:t>rk area and environment</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5.3</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Minimise generation of waste and environmental impacts</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5.4</w:t>
            </w:r>
          </w:p>
        </w:tc>
        <w:tc>
          <w:tcPr>
            <w:tcW w:w="561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Ensure the safe collection of laboratory and hazardous waste for subsequent disposal</w:t>
            </w:r>
          </w:p>
        </w:tc>
      </w:tr>
      <w:tr w:rsidTr="00750B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5.5</w:t>
            </w:r>
          </w:p>
        </w:tc>
        <w:tc>
          <w:tcPr>
            <w:tcW w:w="5610" w:type="dxa"/>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Store equipment and reagents as required</w:t>
            </w:r>
          </w:p>
        </w:tc>
      </w:tr>
    </w:tbl>
    <w:p w:rsidR="00000000" w:rsidRPr="00750B24" w:rsidP="00750B24">
      <w:pPr>
        <w:pStyle w:val="BodyText"/>
      </w:pPr>
    </w:p>
    <w:p w:rsidR="00000000" w:rsidRPr="00750B24" w:rsidP="00750B24">
      <w:pPr>
        <w:pStyle w:val="AllowPageBreak"/>
      </w:pPr>
    </w:p>
    <w:p w:rsidR="00000000" w:rsidRPr="00750B24" w:rsidP="00750B24">
      <w:pPr>
        <w:pStyle w:val="Heading1"/>
      </w:pPr>
      <w:bookmarkStart w:id="7" w:name="O_899396"/>
      <w:bookmarkEnd w:id="7"/>
      <w:r w:rsidRPr="00750B24">
        <w:t>Foundation Skills</w:t>
      </w:r>
    </w:p>
    <w:p w:rsidR="00000000" w:rsidRPr="00750B24" w:rsidP="00750B24">
      <w:pPr>
        <w:pStyle w:val="BodyText"/>
      </w:pPr>
      <w:r w:rsidRPr="00750B24">
        <w:t>This section describes those language, literacy, numeracy and employment skills that are essential to performance.</w:t>
      </w:r>
    </w:p>
    <w:p w:rsidR="00000000" w:rsidRPr="00750B24" w:rsidP="00750B24">
      <w:pPr>
        <w:pStyle w:val="BodyText"/>
      </w:pPr>
    </w:p>
    <w:p w:rsidR="00000000" w:rsidRPr="00750B24" w:rsidP="00750B24">
      <w:pPr>
        <w:pStyle w:val="BodyText"/>
      </w:pPr>
      <w:r w:rsidRPr="00750B24">
        <w:t>Foundation skills essential to performance are explicit in the performance criteria of this unit of competency.</w:t>
      </w:r>
    </w:p>
    <w:p w:rsidR="00000000" w:rsidRPr="00750B24" w:rsidP="00750B24">
      <w:pPr>
        <w:pStyle w:val="AllowPageBreak"/>
      </w:pPr>
    </w:p>
    <w:p w:rsidR="00000000" w:rsidRPr="00750B24" w:rsidP="00750B24">
      <w:pPr>
        <w:pStyle w:val="Heading1"/>
      </w:pPr>
      <w:bookmarkStart w:id="8" w:name="O_899395"/>
      <w:bookmarkEnd w:id="8"/>
      <w:r w:rsidRPr="00750B24">
        <w:t>Range of Conditions</w:t>
      </w:r>
    </w:p>
    <w:tbl>
      <w:tblPr>
        <w:tblW w:w="0" w:type="auto"/>
        <w:tblLayout w:type="fixed"/>
        <w:tblCellMar>
          <w:left w:w="62" w:type="dxa"/>
          <w:right w:w="62" w:type="dxa"/>
        </w:tblCellMar>
        <w:tblLook w:val="0000"/>
      </w:tblPr>
      <w:tblGrid>
        <w:gridCol w:w="2602"/>
        <w:gridCol w:w="61"/>
        <w:gridCol w:w="6409"/>
      </w:tblGrid>
      <w:tr w:rsidTr="00750B2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t>This field allows for different work environments and conditions that may affect performance. Essential operating conditions that may be present (depending on the work situation, needs of the candidate, accessibility of the item</w:t>
            </w:r>
            <w:r w:rsidRPr="00750B24">
              <w:t>, and local industry and regional contexts) are included.</w:t>
            </w:r>
          </w:p>
        </w:tc>
      </w:tr>
      <w:tr w:rsidTr="00750B24">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rPr>
                <w:rStyle w:val="SpecialBold"/>
              </w:rPr>
              <w:t xml:space="preserve">Standards, codes, procedures and/or workplace requirements </w:t>
            </w:r>
          </w:p>
        </w:tc>
        <w:tc>
          <w:tcPr>
            <w:tcW w:w="6470" w:type="dxa"/>
            <w:gridSpan w:val="2"/>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Standards, codes, procedures and/or workplace requirements include the latest version of one or more of:</w:t>
            </w:r>
          </w:p>
          <w:p w:rsidR="00000000" w:rsidRPr="00750B24" w:rsidP="00750B24">
            <w:pPr>
              <w:pStyle w:val="ListBullet"/>
            </w:pPr>
            <w:r w:rsidRPr="00750B24">
              <w:t xml:space="preserve">Australian and international </w:t>
            </w:r>
            <w:r w:rsidRPr="00750B24">
              <w:t>standards covering the requirements for the competence of testing and calibration laboratories, laboratory safety, quality management, laboratory glassware and international system of units (SI)</w:t>
            </w:r>
          </w:p>
          <w:p w:rsidR="00000000" w:rsidRPr="00750B24" w:rsidP="00750B24">
            <w:pPr>
              <w:pStyle w:val="ListBullet"/>
            </w:pPr>
            <w:r w:rsidRPr="00750B24">
              <w:t xml:space="preserve">national work health and safety (WHS) standards and codes of </w:t>
            </w:r>
            <w:r w:rsidRPr="00750B24">
              <w:t>practice, national environmental protection measures, and national measurement regulations and guidelines</w:t>
            </w:r>
          </w:p>
          <w:p w:rsidR="00000000" w:rsidRPr="00750B24" w:rsidP="00750B24">
            <w:pPr>
              <w:pStyle w:val="ListBullet"/>
            </w:pPr>
            <w:r w:rsidRPr="00750B24">
              <w:t>specific codes, guidelines and procedures, such as National Association of Testing Authorities (NATA) accreditation requirements, principles of good l</w:t>
            </w:r>
            <w:r w:rsidRPr="00750B24">
              <w:t>aboratory practice (GLP), and Australian code of good manufacturing practice for medicinal products (GMP)</w:t>
            </w:r>
          </w:p>
          <w:p w:rsidR="00000000" w:rsidRPr="00750B24" w:rsidP="00750B24">
            <w:pPr>
              <w:pStyle w:val="ListBullet"/>
            </w:pPr>
            <w:r w:rsidRPr="00750B24">
              <w:t>workplace documents, such as standard operating procedures (SOPs); quality and equipment manuals; calibration and maintenance schedules; material safe</w:t>
            </w:r>
            <w:r w:rsidRPr="00750B24">
              <w:t>ty data sheets (MSDS) and safety procedures; material, production and product specifications; production and laboratory schedules; workplace recording and reporting procedures; and waste minimisation and safe disposal procedures</w:t>
            </w:r>
          </w:p>
          <w:p w:rsidR="00000000" w:rsidRPr="00750B24" w:rsidP="00750B24">
            <w:pPr>
              <w:pStyle w:val="ListBullet"/>
            </w:pPr>
            <w:r w:rsidRPr="00750B24">
              <w:t>workplace procedures and standard methods for preparing working solutions</w:t>
            </w:r>
          </w:p>
          <w:p w:rsidR="00000000" w:rsidP="00750B24">
            <w:pPr>
              <w:pStyle w:val="BodyText"/>
              <w:rPr>
                <w:lang w:val="en-NZ"/>
              </w:rPr>
            </w:pPr>
          </w:p>
        </w:tc>
      </w:tr>
      <w:tr w:rsidTr="00750B24">
        <w:tblPrEx>
          <w:tblW w:w="0" w:type="auto"/>
          <w:tblLayout w:type="fixed"/>
          <w:tblCellMar>
            <w:left w:w="62" w:type="dxa"/>
            <w:right w:w="62" w:type="dxa"/>
          </w:tblCellMar>
          <w:tblLook w:val="0000"/>
        </w:tblPrEx>
        <w:tc>
          <w:tcPr>
            <w:tcW w:w="2663" w:type="dxa"/>
            <w:gridSpan w:val="2"/>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rPr>
                <w:rStyle w:val="SpecialBold"/>
              </w:rPr>
              <w:t xml:space="preserve">Solutions </w:t>
            </w:r>
          </w:p>
        </w:tc>
        <w:tc>
          <w:tcPr>
            <w:tcW w:w="6409" w:type="dxa"/>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Solutions may include, but are not limited to, one or more of:</w:t>
            </w:r>
          </w:p>
          <w:p w:rsidR="00000000" w:rsidRPr="00750B24" w:rsidP="00750B24">
            <w:pPr>
              <w:pStyle w:val="ListBullet"/>
            </w:pPr>
            <w:r w:rsidRPr="00750B24">
              <w:t xml:space="preserve">solutions of strong/weak acids and bases </w:t>
            </w:r>
          </w:p>
          <w:p w:rsidR="00000000" w:rsidRPr="00750B24" w:rsidP="00750B24">
            <w:pPr>
              <w:pStyle w:val="ListBullet"/>
            </w:pPr>
            <w:r w:rsidRPr="00750B24">
              <w:t xml:space="preserve">oxidising/reducing agents </w:t>
            </w:r>
          </w:p>
          <w:p w:rsidR="00000000" w:rsidRPr="00750B24" w:rsidP="00750B24">
            <w:pPr>
              <w:pStyle w:val="ListBullet"/>
            </w:pPr>
            <w:r w:rsidRPr="00750B24">
              <w:t xml:space="preserve">solutions used for complexometric </w:t>
            </w:r>
            <w:r w:rsidRPr="00750B24">
              <w:t xml:space="preserve">or precipitation titrations </w:t>
            </w:r>
          </w:p>
          <w:p w:rsidR="00000000" w:rsidRPr="00750B24" w:rsidP="00750B24">
            <w:pPr>
              <w:pStyle w:val="ListBullet"/>
            </w:pPr>
            <w:r w:rsidRPr="00750B24">
              <w:t>stains for cells and tissues, enzymes, buffers and antibodies</w:t>
            </w:r>
          </w:p>
          <w:p w:rsidR="00000000" w:rsidRPr="00750B24" w:rsidP="00750B24">
            <w:pPr>
              <w:pStyle w:val="ListBullet"/>
            </w:pPr>
            <w:r w:rsidRPr="00750B24">
              <w:t>diluents for maintaining isotonicity</w:t>
            </w:r>
          </w:p>
          <w:p w:rsidR="00000000" w:rsidRPr="00750B24" w:rsidP="00750B24">
            <w:pPr>
              <w:pStyle w:val="ListBullet"/>
            </w:pPr>
            <w:r w:rsidRPr="00750B24">
              <w:t>organic solutions and histological fixatives</w:t>
            </w:r>
          </w:p>
          <w:p w:rsidR="00000000" w:rsidP="00750B24">
            <w:pPr>
              <w:pStyle w:val="BodyText"/>
              <w:rPr>
                <w:lang w:val="en-NZ"/>
              </w:rPr>
            </w:pPr>
          </w:p>
        </w:tc>
      </w:tr>
      <w:tr w:rsidTr="00750B24">
        <w:tblPrEx>
          <w:tblW w:w="0" w:type="auto"/>
          <w:tblLayout w:type="fixed"/>
          <w:tblCellMar>
            <w:left w:w="62" w:type="dxa"/>
            <w:right w:w="62" w:type="dxa"/>
          </w:tblCellMar>
          <w:tblLook w:val="0000"/>
        </w:tblPrEx>
        <w:tc>
          <w:tcPr>
            <w:tcW w:w="2663" w:type="dxa"/>
            <w:gridSpan w:val="2"/>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rPr>
                <w:rStyle w:val="SpecialBold"/>
              </w:rPr>
              <w:t xml:space="preserve">Checking useability of solutions </w:t>
            </w:r>
          </w:p>
        </w:tc>
        <w:tc>
          <w:tcPr>
            <w:tcW w:w="6409" w:type="dxa"/>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Checking useability of solutions includes, but is not limited to, one or more of:</w:t>
            </w:r>
          </w:p>
          <w:p w:rsidR="00000000" w:rsidRPr="00750B24" w:rsidP="00750B24">
            <w:pPr>
              <w:pStyle w:val="ListBullet"/>
            </w:pPr>
            <w:r w:rsidRPr="00750B24">
              <w:t>examining stained samples for correct staining reactions</w:t>
            </w:r>
          </w:p>
          <w:p w:rsidR="00000000" w:rsidRPr="00750B24" w:rsidP="00750B24">
            <w:pPr>
              <w:pStyle w:val="ListBullet"/>
            </w:pPr>
            <w:r w:rsidRPr="00750B24">
              <w:t>performing pH checks</w:t>
            </w:r>
          </w:p>
          <w:p w:rsidR="00000000" w:rsidRPr="00750B24" w:rsidP="00750B24">
            <w:pPr>
              <w:pStyle w:val="ListBullet"/>
            </w:pPr>
            <w:r w:rsidRPr="00750B24">
              <w:t>confirming enzyme activity</w:t>
            </w:r>
          </w:p>
          <w:p w:rsidR="00000000" w:rsidRPr="00750B24" w:rsidP="00750B24">
            <w:pPr>
              <w:pStyle w:val="ListBullet"/>
            </w:pPr>
            <w:r w:rsidRPr="00750B24">
              <w:t>checking red cell suspensions for haemolysis</w:t>
            </w:r>
          </w:p>
          <w:p w:rsidR="00000000" w:rsidRPr="00750B24" w:rsidP="00750B24">
            <w:pPr>
              <w:pStyle w:val="ListBullet"/>
            </w:pPr>
            <w:r w:rsidRPr="00750B24">
              <w:t>ferric chloride for phe</w:t>
            </w:r>
            <w:r w:rsidRPr="00750B24">
              <w:t xml:space="preserve">nolic solutions </w:t>
            </w:r>
          </w:p>
          <w:p w:rsidR="00000000" w:rsidRPr="00750B24" w:rsidP="00750B24">
            <w:pPr>
              <w:pStyle w:val="ListBullet"/>
            </w:pPr>
            <w:r w:rsidRPr="00750B24">
              <w:t>isotonicity for saline</w:t>
            </w:r>
          </w:p>
          <w:p w:rsidR="00000000" w:rsidP="00750B24">
            <w:pPr>
              <w:pStyle w:val="BodyText"/>
              <w:rPr>
                <w:lang w:val="en-NZ"/>
              </w:rPr>
            </w:pPr>
          </w:p>
        </w:tc>
      </w:tr>
      <w:tr w:rsidTr="00750B24">
        <w:tblPrEx>
          <w:tblW w:w="0" w:type="auto"/>
          <w:tblLayout w:type="fixed"/>
          <w:tblCellMar>
            <w:left w:w="62" w:type="dxa"/>
            <w:right w:w="62" w:type="dxa"/>
          </w:tblCellMar>
          <w:tblLook w:val="0000"/>
        </w:tblPrEx>
        <w:tc>
          <w:tcPr>
            <w:tcW w:w="2663" w:type="dxa"/>
            <w:gridSpan w:val="2"/>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rPr>
                <w:rStyle w:val="SpecialBold"/>
              </w:rPr>
              <w:t>Established safe work practices</w:t>
            </w:r>
          </w:p>
        </w:tc>
        <w:tc>
          <w:tcPr>
            <w:tcW w:w="6409" w:type="dxa"/>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Established safe work practices include, but are not limited to, one or more of:</w:t>
            </w:r>
          </w:p>
          <w:p w:rsidR="00000000" w:rsidRPr="00750B24" w:rsidP="00750B24">
            <w:pPr>
              <w:pStyle w:val="ListBullet"/>
            </w:pPr>
            <w:r w:rsidRPr="00750B24">
              <w:t>use of PPE, such as safety glasses, gloves and coveralls</w:t>
            </w:r>
          </w:p>
          <w:p w:rsidR="00000000" w:rsidRPr="00750B24" w:rsidP="00750B24">
            <w:pPr>
              <w:pStyle w:val="ListBullet"/>
            </w:pPr>
            <w:r w:rsidRPr="00750B24">
              <w:t>correctly labelling reagents and hazardous materials</w:t>
            </w:r>
          </w:p>
          <w:p w:rsidR="00000000" w:rsidRPr="00750B24" w:rsidP="00750B24">
            <w:pPr>
              <w:pStyle w:val="ListBullet"/>
            </w:pPr>
            <w:r w:rsidRPr="00750B24">
              <w:t>handling and storing hazardous material and equipment in accordance with labels, MSDS, manufacturer instructions, and workplace procedures and regulations</w:t>
            </w:r>
          </w:p>
          <w:p w:rsidR="00000000" w:rsidRPr="00750B24" w:rsidP="00750B24">
            <w:pPr>
              <w:pStyle w:val="ListBullet"/>
            </w:pPr>
            <w:r w:rsidRPr="00750B24">
              <w:t>regular cleaning and/or decontamination of equip</w:t>
            </w:r>
            <w:r w:rsidRPr="00750B24">
              <w:t>ment and work areas</w:t>
            </w:r>
          </w:p>
          <w:p w:rsidR="00000000" w:rsidRPr="00750B24" w:rsidP="00750B24">
            <w:pPr>
              <w:pStyle w:val="ListBullet"/>
            </w:pPr>
            <w:r w:rsidRPr="00750B24">
              <w:t>prompt clean-up of spills in accordance workplace procedures</w:t>
            </w:r>
          </w:p>
          <w:p w:rsidR="00000000" w:rsidP="00750B24">
            <w:pPr>
              <w:pStyle w:val="BodyText"/>
              <w:rPr>
                <w:lang w:val="en-NZ"/>
              </w:rPr>
            </w:pPr>
          </w:p>
        </w:tc>
      </w:tr>
      <w:tr w:rsidTr="00750B24">
        <w:tblPrEx>
          <w:tblW w:w="0" w:type="auto"/>
          <w:tblLayout w:type="fixed"/>
          <w:tblCellMar>
            <w:left w:w="62" w:type="dxa"/>
            <w:right w:w="62" w:type="dxa"/>
          </w:tblCellMar>
          <w:tblLook w:val="0000"/>
        </w:tblPrEx>
        <w:tc>
          <w:tcPr>
            <w:tcW w:w="2663" w:type="dxa"/>
            <w:gridSpan w:val="2"/>
            <w:tcBorders>
              <w:top w:val="nil"/>
              <w:left w:val="nil"/>
              <w:bottom w:val="nil"/>
              <w:right w:val="nil"/>
            </w:tcBorders>
            <w:tcMar>
              <w:top w:w="0" w:type="dxa"/>
              <w:left w:w="62" w:type="dxa"/>
              <w:bottom w:w="0" w:type="dxa"/>
              <w:right w:w="62" w:type="dxa"/>
            </w:tcMar>
          </w:tcPr>
          <w:p w:rsidR="00000000" w:rsidP="00750B24">
            <w:pPr>
              <w:pStyle w:val="BodyText"/>
              <w:rPr>
                <w:lang w:val="en-NZ"/>
              </w:rPr>
            </w:pPr>
            <w:r w:rsidRPr="00750B24">
              <w:rPr>
                <w:rStyle w:val="SpecialBold"/>
              </w:rPr>
              <w:t xml:space="preserve">WHS and environmental management requirements </w:t>
            </w:r>
          </w:p>
        </w:tc>
        <w:tc>
          <w:tcPr>
            <w:tcW w:w="6409" w:type="dxa"/>
            <w:tcBorders>
              <w:top w:val="nil"/>
              <w:left w:val="nil"/>
              <w:bottom w:val="nil"/>
              <w:right w:val="nil"/>
            </w:tcBorders>
            <w:tcMar>
              <w:top w:w="0" w:type="dxa"/>
              <w:left w:w="62" w:type="dxa"/>
              <w:bottom w:w="0" w:type="dxa"/>
              <w:right w:w="62" w:type="dxa"/>
            </w:tcMar>
          </w:tcPr>
          <w:p w:rsidR="00000000" w:rsidRPr="00750B24" w:rsidP="00750B24">
            <w:pPr>
              <w:pStyle w:val="BodyText"/>
            </w:pPr>
            <w:r w:rsidRPr="00750B24">
              <w:t>WHS and environmental management requirements</w:t>
            </w:r>
          </w:p>
          <w:p w:rsidR="00000000" w:rsidRPr="00750B24" w:rsidP="00750B24">
            <w:pPr>
              <w:pStyle w:val="BodyText"/>
            </w:pPr>
            <w:r w:rsidRPr="00750B24">
              <w:rPr>
                <w:rStyle w:val="Symbols"/>
              </w:rPr>
              <w:t></w:t>
            </w:r>
            <w:r w:rsidRPr="00750B24">
              <w:rPr>
                <w:rStyle w:val="Symbols"/>
              </w:rPr>
              <w:tab/>
            </w:r>
            <w:r w:rsidRPr="00750B24">
              <w:t>complying with WHS and environmental management requirements at all times, wh</w:t>
            </w:r>
            <w:r w:rsidRPr="00750B24">
              <w:t>ich may be imposed through state/territory or federal legislation. These requirements must not be compromised at any time</w:t>
            </w:r>
          </w:p>
          <w:p w:rsidR="00000000" w:rsidRPr="00750B24" w:rsidP="00750B24">
            <w:pPr>
              <w:pStyle w:val="BodyText"/>
            </w:pPr>
            <w:r w:rsidRPr="00750B24">
              <w:rPr>
                <w:rStyle w:val="Symbols"/>
              </w:rPr>
              <w:t></w:t>
            </w:r>
            <w:r w:rsidRPr="00750B24">
              <w:rPr>
                <w:rStyle w:val="Symbols"/>
              </w:rPr>
              <w:tab/>
            </w:r>
            <w:r w:rsidRPr="00750B24">
              <w:t>applying standard precautions relating to the potentially hazardous nature of samples</w:t>
            </w:r>
          </w:p>
          <w:p w:rsidR="00000000" w:rsidRPr="00750B24" w:rsidP="00750B24">
            <w:pPr>
              <w:pStyle w:val="BodyText"/>
            </w:pPr>
            <w:r w:rsidRPr="00750B24">
              <w:rPr>
                <w:rStyle w:val="Symbols"/>
              </w:rPr>
              <w:t></w:t>
            </w:r>
            <w:r w:rsidRPr="00750B24">
              <w:rPr>
                <w:rStyle w:val="Symbols"/>
              </w:rPr>
              <w:tab/>
            </w:r>
            <w:r w:rsidRPr="00750B24">
              <w:t>accessing and applying current industry understanding of infection control issued by the National Health and Medical Research Council (NHMRC) and State and Territory Departments of Health, where relevant</w:t>
            </w:r>
          </w:p>
          <w:p w:rsidR="00000000" w:rsidRPr="00750B24" w:rsidP="00750B24">
            <w:pPr>
              <w:pStyle w:val="BodyText"/>
            </w:pPr>
          </w:p>
        </w:tc>
      </w:tr>
    </w:tbl>
    <w:p w:rsidR="00000000" w:rsidRPr="00750B24" w:rsidP="00750B24">
      <w:pPr>
        <w:pStyle w:val="BodyText"/>
      </w:pPr>
    </w:p>
    <w:p w:rsidR="00000000" w:rsidRPr="00750B24" w:rsidP="00750B24">
      <w:pPr>
        <w:pStyle w:val="AllowPageBreak"/>
      </w:pPr>
    </w:p>
    <w:p w:rsidR="00000000" w:rsidRPr="00750B24" w:rsidP="00750B24">
      <w:pPr>
        <w:pStyle w:val="Heading1"/>
      </w:pPr>
      <w:bookmarkStart w:id="9" w:name="O_899394"/>
      <w:bookmarkEnd w:id="9"/>
      <w:r w:rsidRPr="00750B24">
        <w:t>Unit Mapping Information</w:t>
      </w:r>
    </w:p>
    <w:p w:rsidR="00000000" w:rsidRPr="00750B24" w:rsidP="00750B24">
      <w:pPr>
        <w:pStyle w:val="BodyText"/>
      </w:pPr>
      <w:r w:rsidRPr="00750B24">
        <w:t>Release</w:t>
      </w:r>
      <w:r w:rsidRPr="00750B24">
        <w:t xml:space="preserve"> 1. Supersedes and is equivalent to MSL974001A Prepare, standardise and use solutions  </w:t>
      </w:r>
    </w:p>
    <w:p w:rsidR="00000000" w:rsidRPr="00750B24" w:rsidP="00750B24">
      <w:pPr>
        <w:pStyle w:val="AllowPageBreak"/>
      </w:pPr>
    </w:p>
    <w:p w:rsidR="00000000" w:rsidRPr="00750B24" w:rsidP="00750B24">
      <w:pPr>
        <w:pStyle w:val="Heading1"/>
      </w:pPr>
      <w:bookmarkStart w:id="10" w:name="O_899387"/>
      <w:bookmarkEnd w:id="10"/>
      <w:r w:rsidRPr="00750B24">
        <w:t>Links</w:t>
      </w:r>
    </w:p>
    <w:p w:rsidR="00000000" w:rsidRPr="00750B24" w:rsidP="00750B24">
      <w:pPr>
        <w:pStyle w:val="BodyText"/>
      </w:pPr>
      <w:r w:rsidRPr="00750B24">
        <w:t>MSA Training Package Implementation Guides - http://mskills.org.au/training-packages/info/</w:t>
      </w:r>
    </w:p>
    <w:p w:rsidR="00000000" w:rsidRPr="00750B24" w:rsidP="00750B24"/>
    <w:sectPr w:rsidSect="00750B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B24" w:rsidRPr="00C70B39" w:rsidP="00C70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39" w:rsidP="00750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0B39" w:rsidP="00750B2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0B39" w:rsidP="00750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B24" w:rsidRPr="00C70B39" w:rsidP="00C70B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39" w:rsidRPr="002D2AF8" w:rsidP="00750B24">
    <w:pPr>
      <w:pStyle w:val="Header"/>
      <w:framePr w:wrap="around"/>
    </w:pPr>
    <w:r>
      <w:fldChar w:fldCharType="begin"/>
    </w:r>
    <w:r>
      <w:instrText xml:space="preserve"> TITLE   \* MERGEFORMAT </w:instrText>
    </w:r>
    <w:r>
      <w:fldChar w:fldCharType="separate"/>
    </w:r>
    <w:r>
      <w:t>MSL974001 Prepare, standardise and use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C70B39" w:rsidP="00750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B846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589E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B24"/>
    <w:pPr>
      <w:spacing w:before="360" w:after="60"/>
      <w:outlineLvl w:val="0"/>
    </w:pPr>
    <w:rPr>
      <w:sz w:val="32"/>
    </w:rPr>
  </w:style>
  <w:style w:type="paragraph" w:styleId="Heading2">
    <w:name w:val="heading 2"/>
    <w:basedOn w:val="HeadingBase"/>
    <w:next w:val="BodyText"/>
    <w:link w:val="Heading2Char"/>
    <w:qFormat/>
    <w:rsid w:val="00750B24"/>
    <w:pPr>
      <w:keepLines/>
      <w:spacing w:before="240" w:after="120"/>
      <w:outlineLvl w:val="1"/>
    </w:pPr>
    <w:rPr>
      <w:sz w:val="28"/>
      <w:szCs w:val="40"/>
    </w:rPr>
  </w:style>
  <w:style w:type="paragraph" w:styleId="Heading3">
    <w:name w:val="heading 3"/>
    <w:basedOn w:val="HeadingBase"/>
    <w:next w:val="BodyText"/>
    <w:link w:val="Heading3Char"/>
    <w:qFormat/>
    <w:rsid w:val="00750B24"/>
    <w:pPr>
      <w:spacing w:before="180" w:after="120"/>
      <w:outlineLvl w:val="2"/>
    </w:pPr>
    <w:rPr>
      <w:spacing w:val="-10"/>
      <w:kern w:val="32"/>
    </w:rPr>
  </w:style>
  <w:style w:type="paragraph" w:styleId="Heading4">
    <w:name w:val="heading 4"/>
    <w:basedOn w:val="HeadingBase"/>
    <w:next w:val="BodyText"/>
    <w:link w:val="Heading4Char"/>
    <w:qFormat/>
    <w:rsid w:val="00750B24"/>
    <w:pPr>
      <w:spacing w:before="160" w:after="120"/>
      <w:outlineLvl w:val="3"/>
    </w:pPr>
    <w:rPr>
      <w:sz w:val="22"/>
    </w:rPr>
  </w:style>
  <w:style w:type="paragraph" w:styleId="Heading5">
    <w:name w:val="heading 5"/>
    <w:basedOn w:val="HeadingBase"/>
    <w:next w:val="Normal"/>
    <w:link w:val="Heading5Char"/>
    <w:qFormat/>
    <w:rsid w:val="00750B24"/>
    <w:pPr>
      <w:spacing w:before="80"/>
      <w:outlineLvl w:val="4"/>
    </w:pPr>
    <w:rPr>
      <w:color w:val="918585"/>
      <w:sz w:val="20"/>
    </w:rPr>
  </w:style>
  <w:style w:type="paragraph" w:styleId="Heading6">
    <w:name w:val="heading 6"/>
    <w:basedOn w:val="HeadingBase"/>
    <w:next w:val="Normal"/>
    <w:link w:val="Heading6Char"/>
    <w:qFormat/>
    <w:rsid w:val="00750B24"/>
    <w:pPr>
      <w:spacing w:before="60"/>
      <w:outlineLvl w:val="5"/>
    </w:pPr>
    <w:rPr>
      <w:color w:val="918585"/>
      <w:sz w:val="20"/>
    </w:rPr>
  </w:style>
  <w:style w:type="paragraph" w:styleId="Heading7">
    <w:name w:val="heading 7"/>
    <w:basedOn w:val="Normal"/>
    <w:next w:val="Normal"/>
    <w:link w:val="Heading7Char"/>
    <w:qFormat/>
    <w:rsid w:val="00750B24"/>
    <w:pPr>
      <w:ind w:left="720"/>
      <w:outlineLvl w:val="6"/>
    </w:pPr>
    <w:rPr>
      <w:i/>
    </w:rPr>
  </w:style>
  <w:style w:type="paragraph" w:styleId="Heading8">
    <w:name w:val="heading 8"/>
    <w:basedOn w:val="Normal"/>
    <w:next w:val="Normal"/>
    <w:link w:val="Heading8Char"/>
    <w:qFormat/>
    <w:rsid w:val="00750B24"/>
    <w:pPr>
      <w:ind w:left="720"/>
      <w:outlineLvl w:val="7"/>
    </w:pPr>
    <w:rPr>
      <w:i/>
    </w:rPr>
  </w:style>
  <w:style w:type="paragraph" w:styleId="Heading9">
    <w:name w:val="heading 9"/>
    <w:basedOn w:val="Normal"/>
    <w:next w:val="Normal"/>
    <w:link w:val="Heading9Char"/>
    <w:qFormat/>
    <w:rsid w:val="00750B24"/>
    <w:pPr>
      <w:ind w:left="720"/>
      <w:outlineLvl w:val="8"/>
    </w:pPr>
    <w:rPr>
      <w:i/>
    </w:rPr>
  </w:style>
  <w:style w:type="character" w:default="1" w:styleId="DefaultParagraphFont">
    <w:name w:val="Default Paragraph Font"/>
    <w:uiPriority w:val="1"/>
    <w:unhideWhenUsed/>
    <w:rsid w:val="00750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B24"/>
  </w:style>
  <w:style w:type="character" w:customStyle="1" w:styleId="Heading1Char">
    <w:name w:val="Heading 1 Char"/>
    <w:basedOn w:val="DefaultParagraphFont"/>
    <w:link w:val="Heading1"/>
    <w:rsid w:val="00750B24"/>
    <w:rPr>
      <w:rFonts w:ascii="Times New Roman" w:eastAsia="Times New Roman" w:hAnsi="Times New Roman" w:cs="Times New Roman"/>
      <w:b/>
      <w:sz w:val="32"/>
      <w:szCs w:val="20"/>
      <w:lang w:eastAsia="en-US"/>
    </w:rPr>
  </w:style>
  <w:style w:type="paragraph" w:styleId="BodyText">
    <w:name w:val="Body Text"/>
    <w:basedOn w:val="Normal"/>
    <w:link w:val="BodyTextChar"/>
    <w:rsid w:val="00750B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0B24"/>
    <w:rPr>
      <w:rFonts w:ascii="Times New Roman" w:eastAsia="Times New Roman" w:hAnsi="Times New Roman" w:cs="Times New Roman"/>
      <w:sz w:val="24"/>
      <w:lang w:eastAsia="en-US"/>
    </w:rPr>
  </w:style>
  <w:style w:type="paragraph" w:styleId="ListBullet">
    <w:name w:val="List Bullet"/>
    <w:basedOn w:val="List"/>
    <w:rsid w:val="00750B24"/>
    <w:pPr>
      <w:numPr>
        <w:numId w:val="12"/>
      </w:numPr>
      <w:tabs>
        <w:tab w:val="clear" w:pos="340"/>
      </w:tabs>
      <w:spacing w:before="40" w:after="40"/>
    </w:pPr>
  </w:style>
  <w:style w:type="character" w:customStyle="1" w:styleId="SpecialBold">
    <w:name w:val="Special Bold"/>
    <w:basedOn w:val="DefaultParagraphFont"/>
    <w:rsid w:val="00750B24"/>
    <w:rPr>
      <w:b/>
      <w:spacing w:val="0"/>
    </w:rPr>
  </w:style>
  <w:style w:type="paragraph" w:customStyle="1" w:styleId="SuperHeading">
    <w:name w:val="SuperHeading"/>
    <w:basedOn w:val="Normal"/>
    <w:rsid w:val="00750B24"/>
    <w:pPr>
      <w:spacing w:before="240" w:after="120"/>
      <w:outlineLvl w:val="0"/>
    </w:pPr>
    <w:rPr>
      <w:rFonts w:ascii="Times New Roman" w:hAnsi="Times New Roman"/>
      <w:b/>
      <w:sz w:val="32"/>
    </w:rPr>
  </w:style>
  <w:style w:type="paragraph" w:customStyle="1" w:styleId="AllowPageBreak">
    <w:name w:val="AllowPageBreak"/>
    <w:rsid w:val="00750B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50B24"/>
    <w:rPr>
      <w:rFonts w:ascii="Symbol" w:hAnsi="Symbol"/>
    </w:rPr>
  </w:style>
  <w:style w:type="character" w:customStyle="1" w:styleId="Heading2Char">
    <w:name w:val="Heading 2 Char"/>
    <w:basedOn w:val="DefaultParagraphFont"/>
    <w:link w:val="Heading2"/>
    <w:rsid w:val="00750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B24"/>
    <w:rPr>
      <w:rFonts w:ascii="Courier New" w:eastAsia="Times New Roman" w:hAnsi="Courier New" w:cs="Times New Roman"/>
      <w:i/>
      <w:szCs w:val="20"/>
      <w:lang w:eastAsia="en-US"/>
    </w:rPr>
  </w:style>
  <w:style w:type="paragraph" w:customStyle="1" w:styleId="HeadingBase">
    <w:name w:val="Heading Base"/>
    <w:rsid w:val="00750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B24"/>
    <w:pPr>
      <w:tabs>
        <w:tab w:val="right" w:leader="dot" w:pos="9072"/>
      </w:tabs>
      <w:ind w:left="567"/>
    </w:pPr>
    <w:rPr>
      <w:szCs w:val="22"/>
    </w:rPr>
  </w:style>
  <w:style w:type="paragraph" w:customStyle="1" w:styleId="TOCBase">
    <w:name w:val="TOC Base"/>
    <w:rsid w:val="00750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B24"/>
    <w:pPr>
      <w:tabs>
        <w:tab w:val="right" w:leader="dot" w:pos="9072"/>
      </w:tabs>
      <w:spacing w:before="40" w:after="40"/>
      <w:ind w:left="284"/>
    </w:pPr>
    <w:rPr>
      <w:rFonts w:ascii="Times New Roman" w:hAnsi="Times New Roman"/>
    </w:rPr>
  </w:style>
  <w:style w:type="paragraph" w:styleId="TOC1">
    <w:name w:val="toc 1"/>
    <w:basedOn w:val="TOCBase"/>
    <w:next w:val="Normal"/>
    <w:rsid w:val="00750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B24"/>
    <w:rPr>
      <w:rFonts w:ascii="Times New Roman" w:eastAsia="Times New Roman" w:hAnsi="Times New Roman" w:cs="Times New Roman"/>
      <w:sz w:val="16"/>
      <w:lang w:eastAsia="en-US"/>
    </w:rPr>
  </w:style>
  <w:style w:type="paragraph" w:styleId="Title">
    <w:name w:val="Title"/>
    <w:basedOn w:val="HeadingBase"/>
    <w:link w:val="TitleChar"/>
    <w:qFormat/>
    <w:rsid w:val="00750B24"/>
    <w:pPr>
      <w:spacing w:before="5040"/>
      <w:jc w:val="center"/>
    </w:pPr>
    <w:rPr>
      <w:sz w:val="48"/>
      <w:szCs w:val="72"/>
      <w:lang w:val="en-US"/>
    </w:rPr>
  </w:style>
  <w:style w:type="character" w:customStyle="1" w:styleId="TitleChar">
    <w:name w:val="Title Char"/>
    <w:basedOn w:val="DefaultParagraphFont"/>
    <w:link w:val="Title"/>
    <w:rsid w:val="00750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B24"/>
    <w:pPr>
      <w:tabs>
        <w:tab w:val="left" w:pos="3600"/>
        <w:tab w:val="left" w:pos="3958"/>
      </w:tabs>
    </w:pPr>
  </w:style>
  <w:style w:type="paragraph" w:styleId="List">
    <w:name w:val="List"/>
    <w:basedOn w:val="BodyText"/>
    <w:next w:val="BodyText"/>
    <w:rsid w:val="00750B24"/>
    <w:pPr>
      <w:tabs>
        <w:tab w:val="left" w:pos="340"/>
      </w:tabs>
      <w:spacing w:before="60" w:after="60"/>
      <w:ind w:left="340" w:hanging="340"/>
    </w:pPr>
  </w:style>
  <w:style w:type="paragraph" w:customStyle="1" w:styleId="Note">
    <w:name w:val="Note"/>
    <w:basedOn w:val="BodyText"/>
    <w:rsid w:val="00750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B24"/>
    <w:pPr>
      <w:framePr w:wrap="auto" w:hAnchor="text" w:y="6049"/>
    </w:pPr>
    <w:rPr>
      <w:color w:val="000000"/>
      <w:sz w:val="40"/>
    </w:rPr>
  </w:style>
  <w:style w:type="paragraph" w:customStyle="1" w:styleId="TOCTitle">
    <w:name w:val="TOCTitle"/>
    <w:basedOn w:val="Heading1"/>
    <w:rsid w:val="00750B24"/>
    <w:pPr>
      <w:spacing w:after="240"/>
      <w:jc w:val="center"/>
      <w:outlineLvl w:val="9"/>
    </w:pPr>
    <w:rPr>
      <w:caps/>
    </w:rPr>
  </w:style>
  <w:style w:type="paragraph" w:customStyle="1" w:styleId="Version">
    <w:name w:val="Version"/>
    <w:rsid w:val="00750B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B24"/>
    <w:pPr>
      <w:numPr>
        <w:numId w:val="13"/>
      </w:numPr>
      <w:tabs>
        <w:tab w:val="clear" w:pos="680"/>
      </w:tabs>
    </w:pPr>
  </w:style>
  <w:style w:type="paragraph" w:styleId="Index1">
    <w:name w:val="index 1"/>
    <w:basedOn w:val="Normal"/>
    <w:next w:val="Normal"/>
    <w:semiHidden/>
    <w:rsid w:val="00750B24"/>
    <w:pPr>
      <w:keepNext w:val="0"/>
      <w:tabs>
        <w:tab w:val="right" w:pos="4176"/>
      </w:tabs>
      <w:ind w:left="198" w:hanging="198"/>
    </w:pPr>
    <w:rPr>
      <w:rFonts w:ascii="Garamond" w:hAnsi="Garamond"/>
    </w:rPr>
  </w:style>
  <w:style w:type="paragraph" w:styleId="IndexHeading">
    <w:name w:val="index heading"/>
    <w:basedOn w:val="Normal"/>
    <w:next w:val="Index1"/>
    <w:semiHidden/>
    <w:rsid w:val="00750B24"/>
    <w:pPr>
      <w:spacing w:before="120" w:after="120"/>
    </w:pPr>
    <w:rPr>
      <w:rFonts w:ascii="Arial" w:hAnsi="Arial"/>
      <w:b/>
      <w:color w:val="918585"/>
      <w:sz w:val="24"/>
    </w:rPr>
  </w:style>
  <w:style w:type="paragraph" w:styleId="Header">
    <w:name w:val="header"/>
    <w:basedOn w:val="Normal"/>
    <w:link w:val="HeaderChar"/>
    <w:rsid w:val="00750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B24"/>
    <w:rPr>
      <w:rFonts w:ascii="Times New Roman" w:eastAsia="Times New Roman" w:hAnsi="Times New Roman" w:cs="Times New Roman"/>
      <w:sz w:val="16"/>
      <w:szCs w:val="20"/>
      <w:lang w:val="en-GB" w:eastAsia="en-US"/>
    </w:rPr>
  </w:style>
  <w:style w:type="paragraph" w:customStyle="1" w:styleId="Chapter">
    <w:name w:val="Chapter"/>
    <w:basedOn w:val="Normal"/>
    <w:rsid w:val="00750B24"/>
    <w:pPr>
      <w:spacing w:before="240"/>
    </w:pPr>
    <w:rPr>
      <w:rFonts w:ascii="Times New Roman" w:hAnsi="Times New Roman"/>
      <w:smallCaps/>
      <w:spacing w:val="80"/>
      <w:sz w:val="28"/>
    </w:rPr>
  </w:style>
  <w:style w:type="paragraph" w:customStyle="1" w:styleId="InChapter">
    <w:name w:val="InChapter"/>
    <w:basedOn w:val="Heading3"/>
    <w:rsid w:val="00750B24"/>
    <w:pPr>
      <w:spacing w:after="240"/>
      <w:outlineLvl w:val="9"/>
    </w:pPr>
    <w:rPr>
      <w:noProof/>
    </w:rPr>
  </w:style>
  <w:style w:type="paragraph" w:styleId="Index2">
    <w:name w:val="index 2"/>
    <w:basedOn w:val="Normal"/>
    <w:next w:val="Normal"/>
    <w:semiHidden/>
    <w:rsid w:val="00750B24"/>
    <w:pPr>
      <w:tabs>
        <w:tab w:val="right" w:pos="4176"/>
      </w:tabs>
      <w:ind w:left="568" w:hanging="284"/>
    </w:pPr>
    <w:rPr>
      <w:rFonts w:ascii="Garamond" w:hAnsi="Garamond"/>
    </w:rPr>
  </w:style>
  <w:style w:type="paragraph" w:customStyle="1" w:styleId="Byline">
    <w:name w:val="Byline"/>
    <w:rsid w:val="00750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B24"/>
    <w:pPr>
      <w:tabs>
        <w:tab w:val="clear" w:pos="3600"/>
        <w:tab w:val="clear" w:pos="3958"/>
      </w:tabs>
      <w:jc w:val="right"/>
    </w:pPr>
  </w:style>
  <w:style w:type="character" w:styleId="Emphasis">
    <w:name w:val="Emphasis"/>
    <w:basedOn w:val="DefaultParagraphFont"/>
    <w:qFormat/>
    <w:rsid w:val="00750B24"/>
    <w:rPr>
      <w:i/>
    </w:rPr>
  </w:style>
  <w:style w:type="paragraph" w:styleId="Caption">
    <w:name w:val="caption"/>
    <w:basedOn w:val="BodyText"/>
    <w:next w:val="Normal"/>
    <w:qFormat/>
    <w:rsid w:val="00750B24"/>
    <w:pPr>
      <w:framePr w:w="2268" w:hSpace="181" w:vSpace="181" w:wrap="around" w:vAnchor="text" w:hAnchor="page" w:x="1135" w:y="285" w:anchorLock="1"/>
    </w:pPr>
    <w:rPr>
      <w:i/>
    </w:rPr>
  </w:style>
  <w:style w:type="paragraph" w:customStyle="1" w:styleId="MiniTOCTitle">
    <w:name w:val="MiniTOCTitle"/>
    <w:basedOn w:val="Heading4"/>
    <w:rsid w:val="00750B24"/>
    <w:pPr>
      <w:spacing w:before="240"/>
      <w:outlineLvl w:val="9"/>
    </w:pPr>
    <w:rPr>
      <w:noProof/>
      <w:sz w:val="24"/>
    </w:rPr>
  </w:style>
  <w:style w:type="paragraph" w:customStyle="1" w:styleId="MiniTOCItem">
    <w:name w:val="MiniTOCItem"/>
    <w:basedOn w:val="ListBullet"/>
    <w:rsid w:val="00750B24"/>
    <w:pPr>
      <w:numPr>
        <w:numId w:val="0"/>
      </w:numPr>
      <w:tabs>
        <w:tab w:val="right" w:leader="dot" w:pos="6521"/>
      </w:tabs>
      <w:spacing w:before="0" w:after="0"/>
    </w:pPr>
  </w:style>
  <w:style w:type="paragraph" w:customStyle="1" w:styleId="TOFTitle">
    <w:name w:val="TOFTitle"/>
    <w:basedOn w:val="TOCTitle"/>
    <w:rsid w:val="00750B24"/>
  </w:style>
  <w:style w:type="paragraph" w:styleId="TableofFigures">
    <w:name w:val="table of figures"/>
    <w:basedOn w:val="Normal"/>
    <w:next w:val="Normal"/>
    <w:semiHidden/>
    <w:rsid w:val="00750B24"/>
    <w:pPr>
      <w:tabs>
        <w:tab w:val="right" w:leader="dot" w:pos="9072"/>
      </w:tabs>
      <w:ind w:left="970" w:hanging="403"/>
    </w:pPr>
    <w:rPr>
      <w:rFonts w:ascii="Times New Roman" w:hAnsi="Times New Roman"/>
      <w:b/>
    </w:rPr>
  </w:style>
  <w:style w:type="paragraph" w:styleId="ListNumber">
    <w:name w:val="List Number"/>
    <w:basedOn w:val="List"/>
    <w:rsid w:val="00750B24"/>
    <w:pPr>
      <w:numPr>
        <w:numId w:val="10"/>
      </w:numPr>
    </w:pPr>
  </w:style>
  <w:style w:type="character" w:customStyle="1" w:styleId="WingdingSymbols">
    <w:name w:val="Wingding Symbols"/>
    <w:rsid w:val="00750B24"/>
    <w:rPr>
      <w:rFonts w:ascii="Wingdings" w:hAnsi="Wingdings"/>
    </w:rPr>
  </w:style>
  <w:style w:type="paragraph" w:customStyle="1" w:styleId="TableHeading">
    <w:name w:val="Table Heading"/>
    <w:basedOn w:val="HeadingBase"/>
    <w:rsid w:val="00750B24"/>
    <w:pPr>
      <w:keepLines/>
      <w:pBdr>
        <w:bottom w:val="single" w:sz="6" w:space="1" w:color="918585"/>
      </w:pBdr>
      <w:spacing w:before="240"/>
    </w:pPr>
  </w:style>
  <w:style w:type="character" w:customStyle="1" w:styleId="HotSpot">
    <w:name w:val="HotSpot"/>
    <w:rsid w:val="00750B24"/>
    <w:rPr>
      <w:color w:val="0033CC"/>
      <w:u w:val="none"/>
    </w:rPr>
  </w:style>
  <w:style w:type="paragraph" w:customStyle="1" w:styleId="BodyTextRight">
    <w:name w:val="Body Text Right"/>
    <w:basedOn w:val="BodyText"/>
    <w:rsid w:val="00750B24"/>
    <w:pPr>
      <w:spacing w:before="0" w:after="0"/>
      <w:jc w:val="right"/>
    </w:pPr>
  </w:style>
  <w:style w:type="paragraph" w:styleId="Index3">
    <w:name w:val="index 3"/>
    <w:basedOn w:val="ListNumber2"/>
    <w:next w:val="Normal"/>
    <w:semiHidden/>
    <w:rsid w:val="00750B24"/>
    <w:pPr>
      <w:numPr>
        <w:numId w:val="0"/>
      </w:numPr>
      <w:tabs>
        <w:tab w:val="right" w:leader="dot" w:pos="4176"/>
      </w:tabs>
    </w:pPr>
  </w:style>
  <w:style w:type="paragraph" w:styleId="ListNumber2">
    <w:name w:val="List Number 2"/>
    <w:basedOn w:val="List2"/>
    <w:rsid w:val="00750B24"/>
    <w:pPr>
      <w:numPr>
        <w:numId w:val="9"/>
      </w:numPr>
      <w:tabs>
        <w:tab w:val="clear" w:pos="1060"/>
      </w:tabs>
    </w:pPr>
  </w:style>
  <w:style w:type="paragraph" w:customStyle="1" w:styleId="MarginNote">
    <w:name w:val="Margin Note"/>
    <w:basedOn w:val="BodyText"/>
    <w:rsid w:val="00750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B24"/>
    <w:rPr>
      <w:sz w:val="32"/>
    </w:rPr>
  </w:style>
  <w:style w:type="paragraph" w:customStyle="1" w:styleId="HeadingProcedure">
    <w:name w:val="Heading Procedure"/>
    <w:basedOn w:val="HeadingBase"/>
    <w:next w:val="Normal"/>
    <w:rsid w:val="00750B24"/>
    <w:pPr>
      <w:tabs>
        <w:tab w:val="left" w:pos="0"/>
      </w:tabs>
      <w:spacing w:before="120" w:after="60"/>
    </w:pPr>
    <w:rPr>
      <w:i/>
      <w:color w:val="918585"/>
      <w:sz w:val="22"/>
    </w:rPr>
  </w:style>
  <w:style w:type="paragraph" w:customStyle="1" w:styleId="TableBodyText">
    <w:name w:val="Table Body Text"/>
    <w:basedOn w:val="BodyText"/>
    <w:rsid w:val="00750B24"/>
    <w:pPr>
      <w:spacing w:before="60" w:after="60"/>
    </w:pPr>
  </w:style>
  <w:style w:type="paragraph" w:styleId="ListContinue">
    <w:name w:val="List Continue"/>
    <w:basedOn w:val="List"/>
    <w:rsid w:val="00750B24"/>
    <w:pPr>
      <w:ind w:firstLine="0"/>
    </w:pPr>
  </w:style>
  <w:style w:type="paragraph" w:customStyle="1" w:styleId="ListNote">
    <w:name w:val="List Note"/>
    <w:basedOn w:val="List"/>
    <w:rsid w:val="00750B24"/>
    <w:pPr>
      <w:pBdr>
        <w:top w:val="single" w:sz="6" w:space="2" w:color="918585"/>
        <w:bottom w:val="single" w:sz="6" w:space="2" w:color="918585"/>
      </w:pBdr>
      <w:tabs>
        <w:tab w:val="left" w:pos="1021"/>
      </w:tabs>
      <w:ind w:firstLine="0"/>
    </w:pPr>
  </w:style>
  <w:style w:type="paragraph" w:customStyle="1" w:styleId="Warning">
    <w:name w:val="Warning"/>
    <w:basedOn w:val="BodyText"/>
    <w:rsid w:val="00750B24"/>
    <w:pPr>
      <w:shd w:val="clear" w:color="auto" w:fill="D9D9D9"/>
      <w:tabs>
        <w:tab w:val="left" w:pos="992"/>
      </w:tabs>
      <w:ind w:left="119" w:right="119"/>
    </w:pPr>
    <w:rPr>
      <w:sz w:val="20"/>
    </w:rPr>
  </w:style>
  <w:style w:type="paragraph" w:customStyle="1" w:styleId="MarginIcons">
    <w:name w:val="Margin Icons"/>
    <w:basedOn w:val="BodyText"/>
    <w:rsid w:val="00750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B24"/>
    <w:rPr>
      <w:rFonts w:ascii="Courier New" w:hAnsi="Courier New"/>
    </w:rPr>
  </w:style>
  <w:style w:type="paragraph" w:customStyle="1" w:styleId="NoteBullet">
    <w:name w:val="Note Bullet"/>
    <w:basedOn w:val="Note"/>
    <w:rsid w:val="00750B24"/>
    <w:pPr>
      <w:tabs>
        <w:tab w:val="clear" w:pos="680"/>
      </w:tabs>
      <w:spacing w:before="60" w:after="60"/>
    </w:pPr>
  </w:style>
  <w:style w:type="paragraph" w:customStyle="1" w:styleId="SubHeading2">
    <w:name w:val="SubHeading2"/>
    <w:basedOn w:val="HeadingBase"/>
    <w:rsid w:val="00750B24"/>
    <w:pPr>
      <w:spacing w:before="240" w:after="60"/>
    </w:pPr>
    <w:rPr>
      <w:sz w:val="20"/>
    </w:rPr>
  </w:style>
  <w:style w:type="paragraph" w:customStyle="1" w:styleId="SubHeading1">
    <w:name w:val="SubHeading1"/>
    <w:basedOn w:val="HeadingBase"/>
    <w:rsid w:val="00750B24"/>
    <w:pPr>
      <w:spacing w:before="240" w:after="60"/>
    </w:pPr>
    <w:rPr>
      <w:color w:val="918585"/>
      <w:sz w:val="22"/>
    </w:rPr>
  </w:style>
  <w:style w:type="paragraph" w:customStyle="1" w:styleId="SideHeading">
    <w:name w:val="Side Heading"/>
    <w:basedOn w:val="HeadingBase"/>
    <w:rsid w:val="00750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B24"/>
    <w:pPr>
      <w:tabs>
        <w:tab w:val="num" w:pos="360"/>
      </w:tabs>
    </w:pPr>
  </w:style>
  <w:style w:type="paragraph" w:styleId="PlainText">
    <w:name w:val="Plain Text"/>
    <w:basedOn w:val="Normal"/>
    <w:link w:val="PlainTextChar"/>
    <w:rsid w:val="00750B24"/>
    <w:rPr>
      <w:sz w:val="20"/>
    </w:rPr>
  </w:style>
  <w:style w:type="character" w:customStyle="1" w:styleId="PlainTextChar">
    <w:name w:val="Plain Text Char"/>
    <w:basedOn w:val="DefaultParagraphFont"/>
    <w:link w:val="PlainText"/>
    <w:rsid w:val="00750B24"/>
    <w:rPr>
      <w:rFonts w:ascii="Courier New" w:eastAsia="Times New Roman" w:hAnsi="Courier New" w:cs="Times New Roman"/>
      <w:sz w:val="20"/>
      <w:szCs w:val="20"/>
      <w:lang w:eastAsia="en-US"/>
    </w:rPr>
  </w:style>
  <w:style w:type="character" w:customStyle="1" w:styleId="MenuOption">
    <w:name w:val="Menu Option"/>
    <w:basedOn w:val="DefaultParagraphFont"/>
    <w:rsid w:val="00750B24"/>
    <w:rPr>
      <w:b/>
      <w:smallCaps/>
    </w:rPr>
  </w:style>
  <w:style w:type="paragraph" w:customStyle="1" w:styleId="TableListNumber">
    <w:name w:val="Table List Number"/>
    <w:basedOn w:val="ListNumber"/>
    <w:rsid w:val="00750B24"/>
    <w:pPr>
      <w:numPr>
        <w:numId w:val="0"/>
      </w:numPr>
    </w:pPr>
  </w:style>
  <w:style w:type="paragraph" w:styleId="TOC4">
    <w:name w:val="toc 4"/>
    <w:basedOn w:val="TOCBase"/>
    <w:next w:val="Normal"/>
    <w:semiHidden/>
    <w:rsid w:val="00750B24"/>
    <w:pPr>
      <w:tabs>
        <w:tab w:val="right" w:leader="dot" w:pos="9071"/>
      </w:tabs>
      <w:ind w:left="1701"/>
    </w:pPr>
  </w:style>
  <w:style w:type="paragraph" w:customStyle="1" w:styleId="ListAlpha">
    <w:name w:val="List Alpha"/>
    <w:basedOn w:val="List"/>
    <w:rsid w:val="00750B24"/>
    <w:pPr>
      <w:numPr>
        <w:numId w:val="8"/>
      </w:numPr>
    </w:pPr>
  </w:style>
  <w:style w:type="paragraph" w:customStyle="1" w:styleId="ListAlpha2">
    <w:name w:val="List Alpha 2"/>
    <w:basedOn w:val="List2"/>
    <w:rsid w:val="00750B24"/>
    <w:pPr>
      <w:numPr>
        <w:numId w:val="7"/>
      </w:numPr>
    </w:pPr>
  </w:style>
  <w:style w:type="paragraph" w:styleId="List2">
    <w:name w:val="List 2"/>
    <w:basedOn w:val="BodyText"/>
    <w:rsid w:val="00750B24"/>
    <w:pPr>
      <w:tabs>
        <w:tab w:val="left" w:pos="680"/>
      </w:tabs>
      <w:spacing w:before="60" w:after="60"/>
      <w:ind w:left="680" w:hanging="340"/>
    </w:pPr>
  </w:style>
  <w:style w:type="paragraph" w:styleId="List3">
    <w:name w:val="List 3"/>
    <w:basedOn w:val="BodyText"/>
    <w:rsid w:val="00750B24"/>
    <w:pPr>
      <w:tabs>
        <w:tab w:val="left" w:pos="1021"/>
      </w:tabs>
      <w:spacing w:before="60" w:after="60"/>
      <w:ind w:left="1020" w:hanging="340"/>
    </w:pPr>
  </w:style>
  <w:style w:type="paragraph" w:styleId="List4">
    <w:name w:val="List 4"/>
    <w:basedOn w:val="BodyText"/>
    <w:rsid w:val="00750B24"/>
    <w:pPr>
      <w:tabs>
        <w:tab w:val="left" w:pos="1361"/>
      </w:tabs>
      <w:spacing w:before="60" w:after="60"/>
      <w:ind w:left="1361" w:hanging="340"/>
    </w:pPr>
  </w:style>
  <w:style w:type="paragraph" w:styleId="List5">
    <w:name w:val="List 5"/>
    <w:basedOn w:val="BodyText"/>
    <w:rsid w:val="00750B24"/>
    <w:pPr>
      <w:tabs>
        <w:tab w:val="left" w:pos="1701"/>
      </w:tabs>
      <w:spacing w:before="60" w:after="60"/>
      <w:ind w:left="1701" w:hanging="340"/>
    </w:pPr>
  </w:style>
  <w:style w:type="paragraph" w:styleId="ListBullet3">
    <w:name w:val="List Bullet 3"/>
    <w:basedOn w:val="List3"/>
    <w:rsid w:val="00750B24"/>
    <w:pPr>
      <w:numPr>
        <w:numId w:val="14"/>
      </w:numPr>
      <w:tabs>
        <w:tab w:val="clear" w:pos="1021"/>
      </w:tabs>
      <w:ind w:left="1037" w:hanging="357"/>
    </w:pPr>
  </w:style>
  <w:style w:type="paragraph" w:styleId="ListBullet4">
    <w:name w:val="List Bullet 4"/>
    <w:basedOn w:val="List4"/>
    <w:rsid w:val="00750B24"/>
    <w:pPr>
      <w:numPr>
        <w:numId w:val="2"/>
      </w:numPr>
      <w:tabs>
        <w:tab w:val="clear" w:pos="1361"/>
      </w:tabs>
    </w:pPr>
  </w:style>
  <w:style w:type="paragraph" w:styleId="ListBullet5">
    <w:name w:val="List Bullet 5"/>
    <w:basedOn w:val="List5"/>
    <w:rsid w:val="00750B24"/>
    <w:pPr>
      <w:numPr>
        <w:numId w:val="3"/>
      </w:numPr>
    </w:pPr>
  </w:style>
  <w:style w:type="paragraph" w:styleId="ListContinue2">
    <w:name w:val="List Continue 2"/>
    <w:basedOn w:val="List2"/>
    <w:rsid w:val="00750B24"/>
    <w:pPr>
      <w:ind w:firstLine="0"/>
    </w:pPr>
  </w:style>
  <w:style w:type="paragraph" w:styleId="ListContinue3">
    <w:name w:val="List Continue 3"/>
    <w:basedOn w:val="List3"/>
    <w:rsid w:val="00750B24"/>
    <w:pPr>
      <w:ind w:left="1021" w:firstLine="0"/>
    </w:pPr>
  </w:style>
  <w:style w:type="paragraph" w:styleId="ListContinue4">
    <w:name w:val="List Continue 4"/>
    <w:basedOn w:val="List4"/>
    <w:rsid w:val="00750B24"/>
    <w:pPr>
      <w:ind w:firstLine="0"/>
    </w:pPr>
  </w:style>
  <w:style w:type="paragraph" w:styleId="ListContinue5">
    <w:name w:val="List Continue 5"/>
    <w:basedOn w:val="List5"/>
    <w:rsid w:val="00750B24"/>
    <w:pPr>
      <w:ind w:firstLine="0"/>
    </w:pPr>
  </w:style>
  <w:style w:type="paragraph" w:styleId="ListNumber3">
    <w:name w:val="List Number 3"/>
    <w:basedOn w:val="List3"/>
    <w:rsid w:val="00750B24"/>
    <w:pPr>
      <w:numPr>
        <w:numId w:val="4"/>
      </w:numPr>
    </w:pPr>
  </w:style>
  <w:style w:type="paragraph" w:styleId="ListNumber4">
    <w:name w:val="List Number 4"/>
    <w:basedOn w:val="List4"/>
    <w:rsid w:val="00750B24"/>
    <w:pPr>
      <w:numPr>
        <w:numId w:val="5"/>
      </w:numPr>
    </w:pPr>
  </w:style>
  <w:style w:type="paragraph" w:styleId="ListNumber5">
    <w:name w:val="List Number 5"/>
    <w:basedOn w:val="List5"/>
    <w:rsid w:val="00750B24"/>
    <w:pPr>
      <w:numPr>
        <w:numId w:val="6"/>
      </w:numPr>
    </w:pPr>
  </w:style>
  <w:style w:type="paragraph" w:styleId="BlockText">
    <w:name w:val="Block Text"/>
    <w:basedOn w:val="Normal"/>
    <w:rsid w:val="00750B24"/>
    <w:pPr>
      <w:spacing w:after="120"/>
      <w:ind w:left="1440" w:right="1440"/>
    </w:pPr>
  </w:style>
  <w:style w:type="character" w:customStyle="1" w:styleId="Subscript">
    <w:name w:val="Subscript"/>
    <w:basedOn w:val="DefaultParagraphFont"/>
    <w:rsid w:val="00750B24"/>
    <w:rPr>
      <w:sz w:val="16"/>
      <w:vertAlign w:val="subscript"/>
    </w:rPr>
  </w:style>
  <w:style w:type="character" w:customStyle="1" w:styleId="Superscript">
    <w:name w:val="Superscript"/>
    <w:basedOn w:val="DefaultParagraphFont"/>
    <w:rsid w:val="00750B24"/>
    <w:rPr>
      <w:sz w:val="16"/>
      <w:vertAlign w:val="superscript"/>
    </w:rPr>
  </w:style>
  <w:style w:type="character" w:customStyle="1" w:styleId="MenuOptions">
    <w:name w:val="Menu Options"/>
    <w:basedOn w:val="DefaultParagraphFont"/>
    <w:rsid w:val="00750B24"/>
    <w:rPr>
      <w:rFonts w:ascii="Arial Narrow" w:hAnsi="Arial Narrow"/>
      <w:smallCaps/>
    </w:rPr>
  </w:style>
  <w:style w:type="character" w:customStyle="1" w:styleId="Buttons">
    <w:name w:val="Buttons"/>
    <w:basedOn w:val="DefaultParagraphFont"/>
    <w:rsid w:val="00750B24"/>
    <w:rPr>
      <w:b/>
    </w:rPr>
  </w:style>
  <w:style w:type="character" w:customStyle="1" w:styleId="Underlined">
    <w:name w:val="Underlined"/>
    <w:basedOn w:val="DefaultParagraphFont"/>
    <w:rsid w:val="00750B24"/>
    <w:rPr>
      <w:u w:val="single"/>
    </w:rPr>
  </w:style>
  <w:style w:type="paragraph" w:customStyle="1" w:styleId="TableBodyTextRight">
    <w:name w:val="Table Body Text Right"/>
    <w:basedOn w:val="TableBodyText"/>
    <w:rsid w:val="00750B24"/>
    <w:pPr>
      <w:widowControl w:val="0"/>
      <w:autoSpaceDE w:val="0"/>
      <w:autoSpaceDN w:val="0"/>
      <w:adjustRightInd w:val="0"/>
      <w:jc w:val="right"/>
    </w:pPr>
    <w:rPr>
      <w:rFonts w:cs="Arial"/>
      <w:szCs w:val="18"/>
    </w:rPr>
  </w:style>
  <w:style w:type="paragraph" w:customStyle="1" w:styleId="CopyrightText">
    <w:name w:val="Copyright Text"/>
    <w:basedOn w:val="BodyText"/>
    <w:rsid w:val="00750B24"/>
    <w:rPr>
      <w:sz w:val="18"/>
    </w:rPr>
  </w:style>
  <w:style w:type="paragraph" w:customStyle="1" w:styleId="BodySmallRight">
    <w:name w:val="Body Small Right"/>
    <w:basedOn w:val="BodyTextRight"/>
    <w:rsid w:val="00750B24"/>
    <w:rPr>
      <w:sz w:val="18"/>
      <w:szCs w:val="18"/>
    </w:rPr>
  </w:style>
  <w:style w:type="paragraph" w:customStyle="1" w:styleId="MarginEdition">
    <w:name w:val="Margin Edition"/>
    <w:basedOn w:val="MarginNote"/>
    <w:rsid w:val="00750B24"/>
    <w:pPr>
      <w:spacing w:before="0" w:after="0"/>
    </w:pPr>
    <w:rPr>
      <w:rFonts w:ascii="Times New Roman" w:hAnsi="Times New Roman"/>
      <w:color w:val="999999"/>
    </w:rPr>
  </w:style>
  <w:style w:type="paragraph" w:customStyle="1" w:styleId="Spacer">
    <w:name w:val="Spacer"/>
    <w:basedOn w:val="Normal"/>
    <w:rsid w:val="00750B24"/>
    <w:rPr>
      <w:sz w:val="2"/>
      <w:szCs w:val="2"/>
    </w:rPr>
  </w:style>
  <w:style w:type="character" w:customStyle="1" w:styleId="Small">
    <w:name w:val="Small"/>
    <w:basedOn w:val="DefaultParagraphFont"/>
    <w:rsid w:val="00750B24"/>
    <w:rPr>
      <w:sz w:val="16"/>
    </w:rPr>
  </w:style>
  <w:style w:type="paragraph" w:customStyle="1" w:styleId="WideTable">
    <w:name w:val="Wide Table"/>
    <w:basedOn w:val="Normal"/>
    <w:rsid w:val="00750B24"/>
    <w:pPr>
      <w:ind w:left="-1418"/>
    </w:pPr>
    <w:rPr>
      <w:sz w:val="2"/>
      <w:szCs w:val="2"/>
    </w:rPr>
  </w:style>
  <w:style w:type="character" w:styleId="PageNumber">
    <w:name w:val="page number"/>
    <w:basedOn w:val="DefaultParagraphFont"/>
    <w:rsid w:val="00750B24"/>
  </w:style>
  <w:style w:type="paragraph" w:styleId="Quote">
    <w:name w:val="Quote"/>
    <w:basedOn w:val="Heading1"/>
    <w:link w:val="QuoteChar"/>
    <w:qFormat/>
    <w:rsid w:val="00750B24"/>
    <w:rPr>
      <w:b w:val="0"/>
      <w:sz w:val="72"/>
      <w:szCs w:val="72"/>
      <w:lang w:val="en-NZ"/>
    </w:rPr>
  </w:style>
  <w:style w:type="character" w:customStyle="1" w:styleId="QuoteChar">
    <w:name w:val="Quote Char"/>
    <w:basedOn w:val="DefaultParagraphFont"/>
    <w:link w:val="Quote"/>
    <w:rsid w:val="00750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B24"/>
    <w:pPr>
      <w:pageBreakBefore/>
    </w:pPr>
  </w:style>
  <w:style w:type="paragraph" w:customStyle="1" w:styleId="Border">
    <w:name w:val="Border"/>
    <w:basedOn w:val="Normal"/>
    <w:qFormat/>
    <w:rsid w:val="00750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B24"/>
    <w:rPr>
      <w:b/>
      <w:bCs/>
      <w:i/>
      <w:iCs/>
      <w:color w:val="auto"/>
    </w:rPr>
  </w:style>
  <w:style w:type="paragraph" w:styleId="IntenseQuote">
    <w:name w:val="Intense Quote"/>
    <w:basedOn w:val="Normal"/>
    <w:next w:val="Normal"/>
    <w:link w:val="IntenseQuoteChar"/>
    <w:uiPriority w:val="30"/>
    <w:qFormat/>
    <w:rsid w:val="00750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B24"/>
    <w:rPr>
      <w:smallCaps/>
      <w:color w:val="auto"/>
      <w:u w:val="single"/>
    </w:rPr>
  </w:style>
  <w:style w:type="character" w:styleId="IntenseReference">
    <w:name w:val="Intense Reference"/>
    <w:basedOn w:val="DefaultParagraphFont"/>
    <w:uiPriority w:val="32"/>
    <w:qFormat/>
    <w:rsid w:val="00750B24"/>
    <w:rPr>
      <w:b/>
      <w:bCs/>
      <w:smallCaps/>
      <w:color w:val="auto"/>
      <w:spacing w:val="5"/>
      <w:u w:val="single"/>
    </w:rPr>
  </w:style>
  <w:style w:type="paragraph" w:customStyle="1" w:styleId="2ColumnHeading">
    <w:name w:val="2Column Heading"/>
    <w:basedOn w:val="BodyText"/>
    <w:qFormat/>
    <w:rsid w:val="00750B24"/>
    <w:pPr>
      <w:spacing w:after="60"/>
      <w:ind w:left="-2268"/>
    </w:pPr>
    <w:rPr>
      <w:b/>
    </w:rPr>
  </w:style>
  <w:style w:type="paragraph" w:customStyle="1" w:styleId="Heading1TOC">
    <w:name w:val="Heading1 TOC"/>
    <w:basedOn w:val="Normal"/>
    <w:qFormat/>
    <w:rsid w:val="00750B24"/>
    <w:pPr>
      <w:spacing w:before="240" w:after="120"/>
    </w:pPr>
    <w:rPr>
      <w:rFonts w:ascii="Times New Roman" w:hAnsi="Times New Roman"/>
      <w:b/>
      <w:sz w:val="32"/>
    </w:rPr>
  </w:style>
  <w:style w:type="paragraph" w:customStyle="1" w:styleId="Heading2TOC">
    <w:name w:val="Heading2 TOC"/>
    <w:basedOn w:val="Normal"/>
    <w:qFormat/>
    <w:rsid w:val="00750B24"/>
    <w:pPr>
      <w:spacing w:before="240" w:after="60"/>
    </w:pPr>
    <w:rPr>
      <w:rFonts w:ascii="Times New Roman" w:hAnsi="Times New Roman"/>
      <w:b/>
      <w:sz w:val="28"/>
    </w:rPr>
  </w:style>
  <w:style w:type="character" w:customStyle="1" w:styleId="Underline">
    <w:name w:val="Underline"/>
    <w:basedOn w:val="DefaultParagraphFont"/>
    <w:qFormat/>
    <w:rsid w:val="00750B24"/>
    <w:rPr>
      <w:u w:val="single"/>
    </w:rPr>
  </w:style>
  <w:style w:type="character" w:customStyle="1" w:styleId="BoldandItalics">
    <w:name w:val="Bold and Italics"/>
    <w:qFormat/>
    <w:rsid w:val="00750B24"/>
    <w:rPr>
      <w:b/>
      <w:i/>
      <w:u w:val="none"/>
    </w:rPr>
  </w:style>
  <w:style w:type="paragraph" w:styleId="BalloonText">
    <w:name w:val="Balloon Text"/>
    <w:basedOn w:val="Normal"/>
    <w:link w:val="BalloonTextChar"/>
    <w:rsid w:val="00750B24"/>
    <w:rPr>
      <w:rFonts w:ascii="Tahoma" w:hAnsi="Tahoma" w:cs="Tahoma"/>
      <w:sz w:val="16"/>
      <w:szCs w:val="16"/>
    </w:rPr>
  </w:style>
  <w:style w:type="character" w:customStyle="1" w:styleId="BalloonTextChar">
    <w:name w:val="Balloon Text Char"/>
    <w:basedOn w:val="DefaultParagraphFont"/>
    <w:link w:val="BalloonText"/>
    <w:rsid w:val="00750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B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0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B24"/>
    <w:rPr>
      <w:b/>
      <w:color w:val="660033"/>
      <w:spacing w:val="0"/>
    </w:rPr>
  </w:style>
  <w:style w:type="paragraph" w:customStyle="1" w:styleId="Nameditemlist">
    <w:name w:val="Named item list"/>
    <w:basedOn w:val="BodyText"/>
    <w:qFormat/>
    <w:rsid w:val="00750B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5788</Characters>
  <Application>Microsoft Office Word</Application>
  <DocSecurity>0</DocSecurity>
  <Lines>261</Lines>
  <Paragraphs>121</Paragraphs>
  <ScaleCrop>false</ScaleCrop>
  <Company>Author-it Software Corporation Ltd.</Company>
  <LinksUpToDate>false</LinksUpToDate>
  <CharactersWithSpaces>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MSL974001 Prepare, standardise and use solutions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2016-03-01T06:29:00Z</dcterms:created>
  <dcterms:modified xsi:type="dcterms:W3CDTF">2016-03-01T06:29:00Z</dcterms:modified>
</cp:coreProperties>
</file>