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DC0" w:rsidP="00CA2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MSL974001 Prepare, standardise and use solutions</w:t>
      </w:r>
      <w:r>
        <w:fldChar w:fldCharType="end"/>
      </w:r>
    </w:p>
    <w:p w:rsidR="00CA2DC0" w:rsidP="00CA2DC0">
      <w:pPr>
        <w:pStyle w:val="Version"/>
        <w:sectPr w:rsidSect="00F57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FB1" w:rsidP="00F57FB1">
      <w:pPr>
        <w:pStyle w:val="SuperHeading"/>
      </w:pPr>
      <w:r w:rsidRPr="00F57FB1">
        <w:t>Assessment Requirements for MSL974001 Prepare, standardise and use solutions</w:t>
      </w:r>
    </w:p>
    <w:p w:rsidR="00000000" w:rsidRPr="00F57FB1" w:rsidP="00F57FB1">
      <w:pPr>
        <w:pStyle w:val="Heading1"/>
      </w:pPr>
      <w:bookmarkStart w:id="1" w:name="O_899389"/>
      <w:bookmarkEnd w:id="1"/>
      <w:r w:rsidRPr="00F57FB1">
        <w:t>Modification History</w:t>
      </w:r>
    </w:p>
    <w:p w:rsidR="00000000" w:rsidRPr="00F57FB1" w:rsidP="00F57FB1">
      <w:pPr>
        <w:pStyle w:val="BodyText"/>
      </w:pPr>
      <w:r w:rsidRPr="00F57FB1">
        <w:t xml:space="preserve">Release 1. Supersedes and is equivalent to MSL974001A Prepare, standardise and use solutions  </w:t>
      </w:r>
    </w:p>
    <w:p w:rsidR="00000000" w:rsidRPr="00F57FB1" w:rsidP="00F57FB1">
      <w:pPr>
        <w:pStyle w:val="AllowPageBreak"/>
      </w:pPr>
    </w:p>
    <w:p w:rsidR="00000000" w:rsidRPr="00F57FB1" w:rsidP="00F57FB1">
      <w:pPr>
        <w:pStyle w:val="Heading1"/>
      </w:pPr>
      <w:bookmarkStart w:id="2" w:name="O_899392"/>
      <w:bookmarkEnd w:id="2"/>
      <w:r w:rsidRPr="00F57FB1">
        <w:t>Performance Evidence</w:t>
      </w:r>
    </w:p>
    <w:p w:rsidR="00000000" w:rsidRPr="00F57FB1" w:rsidP="00F57FB1">
      <w:pPr>
        <w:pStyle w:val="BodyText"/>
      </w:pPr>
      <w:r w:rsidRPr="00F57FB1">
        <w:t>Evidence of competence in this unit must satisfy all of the requirements of the elements and performance criteria, and include demonstration of:</w:t>
      </w:r>
    </w:p>
    <w:p w:rsidR="00000000" w:rsidRPr="00F57FB1" w:rsidP="00F57FB1">
      <w:pPr>
        <w:pStyle w:val="ListBullet"/>
      </w:pPr>
      <w:r w:rsidRPr="00F57FB1">
        <w:t>preparing and standardising at least three (3) different solutions in accordance workplace procedures and/or s</w:t>
      </w:r>
      <w:r w:rsidRPr="00F57FB1">
        <w:t>tandard methods</w:t>
      </w:r>
    </w:p>
    <w:p w:rsidR="00000000" w:rsidRPr="00F57FB1" w:rsidP="00F57FB1">
      <w:pPr>
        <w:pStyle w:val="ListBullet"/>
      </w:pPr>
      <w:r w:rsidRPr="00F57FB1">
        <w:t>using balances and volumetric glassware accurately</w:t>
      </w:r>
    </w:p>
    <w:p w:rsidR="00000000" w:rsidRPr="00F57FB1" w:rsidP="00F57FB1">
      <w:pPr>
        <w:pStyle w:val="ListBullet"/>
      </w:pPr>
      <w:r w:rsidRPr="00F57FB1">
        <w:t>selecting and using primary and secondary standards and indicators</w:t>
      </w:r>
    </w:p>
    <w:p w:rsidR="00000000" w:rsidRPr="00F57FB1" w:rsidP="00F57FB1">
      <w:pPr>
        <w:pStyle w:val="ListBullet"/>
      </w:pPr>
      <w:r w:rsidRPr="00F57FB1">
        <w:t>performing titrations using laboratory procedures with required accuracy and precision and within required timelines</w:t>
      </w:r>
    </w:p>
    <w:p w:rsidR="00000000" w:rsidRPr="00F57FB1" w:rsidP="00F57FB1">
      <w:pPr>
        <w:pStyle w:val="ListBullet"/>
      </w:pPr>
      <w:r w:rsidRPr="00F57FB1">
        <w:t>deter</w:t>
      </w:r>
      <w:r w:rsidRPr="00F57FB1">
        <w:t>mining equivalence points using indicators and graphical methods</w:t>
      </w:r>
    </w:p>
    <w:p w:rsidR="00000000" w:rsidRPr="00F57FB1" w:rsidP="00F57FB1">
      <w:pPr>
        <w:pStyle w:val="ListBullet"/>
      </w:pPr>
      <w:r w:rsidRPr="00F57FB1">
        <w:t>calculating the concentration of the solution with appropriate units and uncertainties given the chemical reaction for the titration</w:t>
      </w:r>
    </w:p>
    <w:p w:rsidR="00000000" w:rsidRPr="00F57FB1" w:rsidP="00F57FB1">
      <w:pPr>
        <w:pStyle w:val="ListBullet"/>
      </w:pPr>
      <w:r w:rsidRPr="00F57FB1">
        <w:t>performing quality assurance checks for solution performan</w:t>
      </w:r>
      <w:r w:rsidRPr="00F57FB1">
        <w:t xml:space="preserve">ce </w:t>
      </w:r>
    </w:p>
    <w:p w:rsidR="00000000" w:rsidRPr="00F57FB1" w:rsidP="00F57FB1">
      <w:pPr>
        <w:pStyle w:val="ListBullet"/>
      </w:pPr>
      <w:r w:rsidRPr="00F57FB1">
        <w:t>recognising control results that are not within acceptable range</w:t>
      </w:r>
    </w:p>
    <w:p w:rsidR="00000000" w:rsidRPr="00F57FB1" w:rsidP="00F57FB1">
      <w:pPr>
        <w:pStyle w:val="ListBullet"/>
      </w:pPr>
      <w:r w:rsidRPr="00F57FB1">
        <w:t>recording and reporting results in accordance with workplace procedures</w:t>
      </w:r>
    </w:p>
    <w:p w:rsidR="00000000" w:rsidRPr="00F57FB1" w:rsidP="00F57FB1">
      <w:pPr>
        <w:pStyle w:val="ListBullet"/>
      </w:pPr>
      <w:r w:rsidRPr="00F57FB1">
        <w:t>labelling and storing solutions, safely cleaning up spills and collecting and disposing of waste in accordance with</w:t>
      </w:r>
      <w:r w:rsidRPr="00F57FB1">
        <w:t xml:space="preserve"> workplace procedures</w:t>
      </w:r>
    </w:p>
    <w:p w:rsidR="00000000" w:rsidRPr="00F57FB1" w:rsidP="00F57FB1">
      <w:pPr>
        <w:pStyle w:val="ListBullet"/>
      </w:pPr>
      <w:r w:rsidRPr="00F57FB1">
        <w:t>working safely at all times by following established safe work practices and using safety information and safety equipment.</w:t>
      </w:r>
    </w:p>
    <w:p w:rsidR="00000000" w:rsidRPr="00F57FB1" w:rsidP="00F57FB1">
      <w:pPr>
        <w:pStyle w:val="AllowPageBreak"/>
      </w:pPr>
    </w:p>
    <w:p w:rsidR="00000000" w:rsidRPr="00F57FB1" w:rsidP="00F57FB1">
      <w:pPr>
        <w:pStyle w:val="Heading1"/>
      </w:pPr>
      <w:bookmarkStart w:id="3" w:name="O_899391"/>
      <w:bookmarkEnd w:id="3"/>
      <w:r w:rsidRPr="00F57FB1">
        <w:t>Knowledge Evidence</w:t>
      </w:r>
    </w:p>
    <w:p w:rsidR="00000000" w:rsidRPr="00F57FB1" w:rsidP="00F57FB1">
      <w:pPr>
        <w:pStyle w:val="BodyText"/>
      </w:pPr>
      <w:r w:rsidRPr="00F57FB1">
        <w:t>Must provide evidence that demonstrates knowledge of:</w:t>
      </w:r>
    </w:p>
    <w:p w:rsidR="00000000" w:rsidRPr="00F57FB1" w:rsidP="00F57FB1">
      <w:pPr>
        <w:pStyle w:val="ListBullet"/>
      </w:pPr>
      <w:r w:rsidRPr="00F57FB1">
        <w:t>solution terminolog</w:t>
      </w:r>
      <w:r w:rsidRPr="00F57FB1">
        <w:t xml:space="preserve">y </w:t>
      </w:r>
    </w:p>
    <w:p w:rsidR="00000000" w:rsidRPr="00F57FB1" w:rsidP="00F57FB1">
      <w:pPr>
        <w:pStyle w:val="ListBullet"/>
      </w:pPr>
      <w:r w:rsidRPr="00F57FB1">
        <w:t xml:space="preserve">the chemistry of acids, bases, buffers and redox reactions </w:t>
      </w:r>
    </w:p>
    <w:p w:rsidR="00000000" w:rsidRPr="00F57FB1" w:rsidP="00F57FB1">
      <w:pPr>
        <w:pStyle w:val="ListBullet"/>
      </w:pPr>
      <w:r w:rsidRPr="00F57FB1">
        <w:t>Moles and Molarity</w:t>
      </w:r>
    </w:p>
    <w:p w:rsidR="00000000" w:rsidRPr="00F57FB1" w:rsidP="00F57FB1">
      <w:pPr>
        <w:pStyle w:val="ListBullet"/>
      </w:pPr>
      <w:r w:rsidRPr="00F57FB1">
        <w:t>scientific terminology for different types of solutions</w:t>
      </w:r>
    </w:p>
    <w:p w:rsidR="00000000" w:rsidRPr="00F57FB1" w:rsidP="00F57FB1">
      <w:pPr>
        <w:pStyle w:val="ListBullet"/>
      </w:pPr>
      <w:r w:rsidRPr="00F57FB1">
        <w:t>chemical symbols and Atomic Mass</w:t>
      </w:r>
    </w:p>
    <w:p w:rsidR="00000000" w:rsidRPr="00F57FB1" w:rsidP="00F57FB1">
      <w:pPr>
        <w:pStyle w:val="ListBullet"/>
      </w:pPr>
      <w:r w:rsidRPr="00F57FB1">
        <w:t>formulae for calculating concentration</w:t>
      </w:r>
    </w:p>
    <w:p w:rsidR="00000000" w:rsidRPr="00F57FB1" w:rsidP="00F57FB1">
      <w:pPr>
        <w:pStyle w:val="ListBullet"/>
      </w:pPr>
      <w:r w:rsidRPr="00F57FB1">
        <w:t>concepts of metrology, including:</w:t>
      </w:r>
    </w:p>
    <w:p w:rsidR="00000000" w:rsidRPr="00F57FB1" w:rsidP="00F57FB1">
      <w:pPr>
        <w:pStyle w:val="ListBullet2"/>
      </w:pPr>
      <w:r w:rsidRPr="00F57FB1">
        <w:t>all measurements are estimates</w:t>
      </w:r>
    </w:p>
    <w:p w:rsidR="00000000" w:rsidRPr="00F57FB1" w:rsidP="00F57FB1">
      <w:pPr>
        <w:pStyle w:val="ListBullet2"/>
      </w:pPr>
      <w:r w:rsidRPr="00F57FB1">
        <w:t>measurements belong to a population of measurements of the measured parameters</w:t>
      </w:r>
    </w:p>
    <w:p w:rsidR="00000000" w:rsidRPr="00F57FB1" w:rsidP="00F57FB1">
      <w:pPr>
        <w:pStyle w:val="ListBullet2"/>
      </w:pPr>
      <w:r w:rsidRPr="00F57FB1">
        <w:t>precision, accuracy and significant figures</w:t>
      </w:r>
    </w:p>
    <w:p w:rsidR="00000000" w:rsidRPr="00F57FB1" w:rsidP="00F57FB1">
      <w:pPr>
        <w:pStyle w:val="ListBullet2"/>
      </w:pPr>
      <w:r w:rsidRPr="00F57FB1">
        <w:t>sources of error, uncertainty and repeatability</w:t>
      </w:r>
    </w:p>
    <w:p w:rsidR="00000000" w:rsidRPr="00F57FB1" w:rsidP="00F57FB1">
      <w:pPr>
        <w:pStyle w:val="ListBullet2"/>
      </w:pPr>
      <w:r w:rsidRPr="00F57FB1">
        <w:t>traceability</w:t>
      </w:r>
    </w:p>
    <w:p w:rsidR="00000000" w:rsidRPr="00F57FB1" w:rsidP="00F57FB1">
      <w:pPr>
        <w:pStyle w:val="ListBullet"/>
      </w:pPr>
      <w:r w:rsidRPr="00F57FB1">
        <w:t>international system of units (SI)</w:t>
      </w:r>
    </w:p>
    <w:p w:rsidR="00000000" w:rsidRPr="00F57FB1" w:rsidP="00F57FB1">
      <w:pPr>
        <w:pStyle w:val="ListBullet"/>
      </w:pPr>
      <w:r w:rsidRPr="00F57FB1">
        <w:t>grade</w:t>
      </w:r>
      <w:r w:rsidRPr="00F57FB1">
        <w:t>s of glassware, reagents and their use</w:t>
      </w:r>
    </w:p>
    <w:p w:rsidR="00000000" w:rsidRPr="00F57FB1" w:rsidP="00F57FB1">
      <w:pPr>
        <w:pStyle w:val="ListBullet"/>
      </w:pPr>
      <w:r w:rsidRPr="00F57FB1">
        <w:t xml:space="preserve">reactions used for standardisation and desirable characteristics </w:t>
      </w:r>
    </w:p>
    <w:p w:rsidR="00000000" w:rsidRPr="00F57FB1" w:rsidP="00F57FB1">
      <w:pPr>
        <w:pStyle w:val="ListBullet"/>
      </w:pPr>
      <w:r w:rsidRPr="00F57FB1">
        <w:t>workplace procedures, standard methods and calculations used for preparing, standardising and monitoring the quality of solutions used in job role</w:t>
      </w:r>
    </w:p>
    <w:p w:rsidR="00000000" w:rsidRPr="00F57FB1" w:rsidP="00F57FB1">
      <w:pPr>
        <w:pStyle w:val="ListBullet"/>
      </w:pPr>
      <w:r w:rsidRPr="00F57FB1">
        <w:t>workplace communication and reporting procedures</w:t>
      </w:r>
    </w:p>
    <w:p w:rsidR="00000000" w:rsidRPr="00F57FB1" w:rsidP="00F57FB1">
      <w:pPr>
        <w:pStyle w:val="ListBullet"/>
      </w:pPr>
      <w:r w:rsidRPr="00F57FB1">
        <w:t>relevant hazards, work health and safety (WHS) and environment requirements.</w:t>
      </w:r>
    </w:p>
    <w:p w:rsidR="00000000" w:rsidRPr="00F57FB1" w:rsidP="00F57FB1">
      <w:pPr>
        <w:pStyle w:val="AllowPageBreak"/>
      </w:pPr>
    </w:p>
    <w:p w:rsidR="00000000" w:rsidRPr="00F57FB1" w:rsidP="00F57FB1">
      <w:pPr>
        <w:pStyle w:val="Heading1"/>
      </w:pPr>
      <w:bookmarkStart w:id="4" w:name="O_899390"/>
      <w:bookmarkEnd w:id="4"/>
      <w:r w:rsidRPr="00F57FB1">
        <w:t>Assessment Conditions</w:t>
      </w:r>
    </w:p>
    <w:p w:rsidR="00000000" w:rsidRPr="00F57FB1" w:rsidP="00F57FB1">
      <w:pPr>
        <w:pStyle w:val="ListBullet"/>
      </w:pPr>
      <w:r w:rsidRPr="00F57FB1">
        <w:t>Judgment of competence must be based on holistic assessment of the evidence. Assessment me</w:t>
      </w:r>
      <w:r w:rsidRPr="00F57FB1">
        <w:t xml:space="preserve">thods must confirm consistency of performance over time, rather than a single assessment event. </w:t>
      </w:r>
    </w:p>
    <w:p w:rsidR="00000000" w:rsidRPr="00F57FB1" w:rsidP="00F57FB1">
      <w:pPr>
        <w:pStyle w:val="ListBullet"/>
      </w:pPr>
      <w:r w:rsidRPr="00F57FB1">
        <w:t>This unit of competency is to be assessed in the workplace or a simulated workplace environment. A simulated workplace environment must reflect realistic opera</w:t>
      </w:r>
      <w:r w:rsidRPr="00F57FB1">
        <w:t xml:space="preserve">tional workplace conditions that cover all aspects of workplace performance, including the environment, task skills, task management skills, contingency management skills and job role environment skills.  </w:t>
      </w:r>
    </w:p>
    <w:p w:rsidR="00000000" w:rsidRPr="00F57FB1" w:rsidP="00F57FB1">
      <w:pPr>
        <w:pStyle w:val="ListBullet"/>
      </w:pPr>
      <w:r w:rsidRPr="00F57FB1">
        <w:t>Foundation skills are integral to competent perfor</w:t>
      </w:r>
      <w:r w:rsidRPr="00F57FB1">
        <w:t xml:space="preserve">mance of the unit and should not be assessed separately. </w:t>
      </w:r>
    </w:p>
    <w:p w:rsidR="00000000" w:rsidRPr="00F57FB1" w:rsidP="00F57FB1">
      <w:pPr>
        <w:pStyle w:val="ListBullet"/>
      </w:pPr>
      <w:r w:rsidRPr="00F57FB1">
        <w:t>Assessment processes and techniques must be appropriate to the language, literacy and numeracy requirements of the work being performed and the needs of the candidate.</w:t>
      </w:r>
    </w:p>
    <w:p w:rsidR="00000000" w:rsidRPr="00F57FB1" w:rsidP="00F57FB1">
      <w:pPr>
        <w:pStyle w:val="ListBullet"/>
      </w:pPr>
      <w:r w:rsidRPr="00F57FB1">
        <w:t>Knowledge evidence may be coll</w:t>
      </w:r>
      <w:r w:rsidRPr="00F57FB1">
        <w:t>ected concurrently with performance evidence or through an independent process, such as workbooks, written assessments or interviews (provided a record is kept in each case).</w:t>
      </w:r>
    </w:p>
    <w:p w:rsidR="00000000" w:rsidRPr="00F57FB1" w:rsidP="00F57FB1">
      <w:pPr>
        <w:pStyle w:val="ListBullet"/>
      </w:pPr>
      <w:r w:rsidRPr="00F57FB1">
        <w:t xml:space="preserve">This unit of competency may be assessed with: </w:t>
      </w:r>
    </w:p>
    <w:p w:rsidR="00000000" w:rsidRPr="00F57FB1" w:rsidP="00F57FB1">
      <w:pPr>
        <w:pStyle w:val="ListBullet2"/>
      </w:pPr>
      <w:r w:rsidRPr="00F57FB1">
        <w:t>relevant MSL974000 series units o</w:t>
      </w:r>
      <w:r w:rsidRPr="00F57FB1">
        <w:t>f competency, and</w:t>
      </w:r>
    </w:p>
    <w:p w:rsidR="00000000" w:rsidRPr="00F57FB1" w:rsidP="00F57FB1">
      <w:pPr>
        <w:pStyle w:val="ListBullet2"/>
      </w:pPr>
      <w:r w:rsidRPr="00F57FB1">
        <w:t>relevant MSL975000 series units of competency dealing with sampling, tests and measurements</w:t>
      </w:r>
    </w:p>
    <w:p w:rsidR="00000000" w:rsidRPr="00F57FB1" w:rsidP="00F57FB1">
      <w:pPr>
        <w:pStyle w:val="ListBullet"/>
      </w:pPr>
      <w:r w:rsidRPr="00F57FB1">
        <w:t xml:space="preserve">Holistic assessment methods include: </w:t>
      </w:r>
    </w:p>
    <w:p w:rsidR="00000000" w:rsidRPr="00F57FB1" w:rsidP="00F57FB1">
      <w:pPr>
        <w:pStyle w:val="ListBullet2"/>
      </w:pPr>
      <w:r w:rsidRPr="00F57FB1">
        <w:t>inspection and/or testing of solutions prepared by the candidate</w:t>
      </w:r>
    </w:p>
    <w:p w:rsidR="00000000" w:rsidRPr="00F57FB1" w:rsidP="00F57FB1">
      <w:pPr>
        <w:pStyle w:val="ListBullet2"/>
      </w:pPr>
      <w:r w:rsidRPr="00F57FB1">
        <w:t>review of records and workplace documentation completed by candidate</w:t>
      </w:r>
    </w:p>
    <w:p w:rsidR="00000000" w:rsidRPr="00F57FB1" w:rsidP="00F57FB1">
      <w:pPr>
        <w:pStyle w:val="ListBullet2"/>
      </w:pPr>
      <w:r w:rsidRPr="00F57FB1">
        <w:t>review of work outputs by the candidate over time to ensure accuracy, consistency and timeliness</w:t>
      </w:r>
    </w:p>
    <w:p w:rsidR="00000000" w:rsidRPr="00F57FB1" w:rsidP="00F57FB1">
      <w:pPr>
        <w:pStyle w:val="ListBullet2"/>
      </w:pPr>
      <w:r w:rsidRPr="00F57FB1">
        <w:t>observation of the candidate preparing, standardising and using a range of solutions</w:t>
      </w:r>
    </w:p>
    <w:p w:rsidR="00000000" w:rsidRPr="00F57FB1" w:rsidP="00F57FB1">
      <w:pPr>
        <w:pStyle w:val="ListBullet2"/>
      </w:pPr>
      <w:r w:rsidRPr="00F57FB1">
        <w:t>feedb</w:t>
      </w:r>
      <w:r w:rsidRPr="00F57FB1">
        <w:t>ack from peers and supervisors about the candidate’s ability to consistently prepare and standardise solutions that are fit for purpose</w:t>
      </w:r>
    </w:p>
    <w:p w:rsidR="00000000" w:rsidRPr="00F57FB1" w:rsidP="00F57FB1">
      <w:pPr>
        <w:pStyle w:val="ListBullet2"/>
      </w:pPr>
      <w:r w:rsidRPr="00F57FB1">
        <w:t>oral/written questions about key steps in solution preparation and standardisation, calculations, common hazards and saf</w:t>
      </w:r>
      <w:r w:rsidRPr="00F57FB1">
        <w:t>ety procedures.</w:t>
      </w:r>
    </w:p>
    <w:p w:rsidR="00000000" w:rsidRPr="00F57FB1" w:rsidP="00F57FB1">
      <w:pPr>
        <w:pStyle w:val="ListBullet"/>
      </w:pPr>
      <w:r w:rsidRPr="00F57FB1">
        <w:t>Access is required to instruments, equipment, materials, workplace documentation, procedures and specifications associated with this unit, including, but not limited to:</w:t>
      </w:r>
    </w:p>
    <w:p w:rsidR="00000000" w:rsidRPr="00F57FB1" w:rsidP="00F57FB1">
      <w:pPr>
        <w:pStyle w:val="ListBullet2"/>
      </w:pPr>
      <w:r w:rsidRPr="00F57FB1">
        <w:t>a standard laboratory equipped with appropriate reagents and equipme</w:t>
      </w:r>
      <w:r w:rsidRPr="00F57FB1">
        <w:t>nt to prepare and standardise solutions, such as pH meters; balances; magnetic stirrers, water baths and hot plates; measuring cylinders, beakers, conical flasks, volumetric flasks, pipettes and burettes; filter papers and funnels; and fume cupboards</w:t>
      </w:r>
    </w:p>
    <w:p w:rsidR="00000000" w:rsidRPr="00F57FB1" w:rsidP="00F57FB1">
      <w:pPr>
        <w:pStyle w:val="ListBullet2"/>
      </w:pPr>
      <w:r w:rsidRPr="00F57FB1">
        <w:t>stand</w:t>
      </w:r>
      <w:r w:rsidRPr="00F57FB1">
        <w:t>ard methods and workplace procedures</w:t>
      </w:r>
    </w:p>
    <w:p w:rsidR="00000000" w:rsidRPr="00F57FB1" w:rsidP="00F57FB1">
      <w:pPr>
        <w:pStyle w:val="ListBullet2"/>
      </w:pPr>
      <w:r w:rsidRPr="00F57FB1">
        <w:t>containers and storage facilities.</w:t>
      </w:r>
    </w:p>
    <w:p w:rsidR="00000000" w:rsidRPr="00F57FB1" w:rsidP="00F57FB1">
      <w:pPr>
        <w:pStyle w:val="ListBullet"/>
      </w:pPr>
      <w:r w:rsidRPr="00F57FB1">
        <w:t xml:space="preserve">Assessors must satisfy the assessor competency requirements that are in place at the time of the assessment as set by the VET regulator.  </w:t>
      </w:r>
    </w:p>
    <w:p w:rsidR="00000000" w:rsidRPr="00F57FB1" w:rsidP="00F57FB1">
      <w:pPr>
        <w:pStyle w:val="ListBullet"/>
      </w:pPr>
      <w:r w:rsidRPr="00F57FB1">
        <w:t>The assessor must demonstrate both technical</w:t>
      </w:r>
      <w:r w:rsidRPr="00F57FB1">
        <w:t xml:space="preserve"> competence and currency.</w:t>
      </w:r>
    </w:p>
    <w:p w:rsidR="00000000" w:rsidRPr="00F57FB1" w:rsidP="00F57FB1">
      <w:pPr>
        <w:pStyle w:val="ListBullet"/>
      </w:pPr>
      <w:r w:rsidRPr="00F57FB1">
        <w:t>Technical competence can be demonstrated through:</w:t>
      </w:r>
    </w:p>
    <w:p w:rsidR="00000000" w:rsidRPr="00F57FB1" w:rsidP="00F57FB1">
      <w:pPr>
        <w:pStyle w:val="ListBullet2"/>
      </w:pPr>
      <w:r w:rsidRPr="00F57FB1">
        <w:t>relevant VET or other qualification/Statement of Attainment AND/OR</w:t>
      </w:r>
    </w:p>
    <w:p w:rsidR="00000000" w:rsidRPr="00F57FB1" w:rsidP="00F57FB1">
      <w:pPr>
        <w:pStyle w:val="ListBullet2"/>
      </w:pPr>
      <w:r w:rsidRPr="00F57FB1">
        <w:t>relevant workplace experience.</w:t>
      </w:r>
    </w:p>
    <w:p w:rsidR="00000000" w:rsidRPr="00F57FB1" w:rsidP="00F57FB1">
      <w:pPr>
        <w:pStyle w:val="ListBullet"/>
      </w:pPr>
      <w:r w:rsidRPr="00F57FB1">
        <w:t>Currency can be demonstrated through:</w:t>
      </w:r>
    </w:p>
    <w:p w:rsidR="00000000" w:rsidRPr="00F57FB1" w:rsidP="00F57FB1">
      <w:pPr>
        <w:pStyle w:val="ListBullet2"/>
      </w:pPr>
      <w:r w:rsidRPr="00F57FB1">
        <w:t>performing the competency being assessed as part of current employment OR</w:t>
      </w:r>
    </w:p>
    <w:p w:rsidR="00CA2DC0" w:rsidP="00F57FB1">
      <w:pPr>
        <w:pStyle w:val="ListBullet2"/>
      </w:pPr>
      <w:r w:rsidRPr="00F57FB1">
        <w:t>having consulted with a laboratory about performing the competency being assessed within the last twelve months.</w:t>
      </w:r>
    </w:p>
    <w:p w:rsidR="00CA2DC0" w:rsidP="00F57FB1">
      <w:pPr>
        <w:pStyle w:val="ListBullet2"/>
      </w:pPr>
    </w:p>
    <w:p w:rsidR="00000000" w:rsidRPr="00F57FB1" w:rsidP="00F57FB1">
      <w:pPr>
        <w:pStyle w:val="Heading1"/>
      </w:pPr>
      <w:bookmarkStart w:id="5" w:name="O_899388"/>
      <w:bookmarkEnd w:id="5"/>
      <w:r w:rsidRPr="00F57FB1">
        <w:t>Links</w:t>
      </w:r>
    </w:p>
    <w:p w:rsidR="00000000" w:rsidRPr="00F57FB1" w:rsidP="00F57FB1">
      <w:pPr>
        <w:pStyle w:val="BodyText"/>
      </w:pPr>
      <w:r w:rsidRPr="00F57FB1">
        <w:t xml:space="preserve">MSA Training Package Implementation Guides - </w:t>
      </w:r>
      <w:r w:rsidRPr="00F57FB1">
        <w:t>http://mskills.org.au/training-packages/info/</w:t>
      </w:r>
    </w:p>
    <w:p w:rsidR="00000000" w:rsidRPr="00F57FB1" w:rsidP="00F57FB1"/>
    <w:sectPr w:rsidSect="00F57F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B1" w:rsidRPr="00CA2DC0" w:rsidP="00CA2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0" w:rsidP="00F57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DC0" w:rsidP="00F57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A2DC0" w:rsidP="00F57F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B1" w:rsidRPr="00CA2DC0" w:rsidP="00CA2D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C0" w:rsidRPr="002D2AF8" w:rsidP="00F57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MSL974001 Prepare, standardise and use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CA2DC0" w:rsidP="00F57F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9E9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E6B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07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FB1"/>
  </w:style>
  <w:style w:type="character" w:customStyle="1" w:styleId="Heading1Char">
    <w:name w:val="Heading 1 Char"/>
    <w:basedOn w:val="DefaultParagraphFont"/>
    <w:link w:val="Heading1"/>
    <w:rsid w:val="00F57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F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F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F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7F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7F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F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F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F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F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FB1"/>
    <w:rPr>
      <w:b/>
      <w:spacing w:val="0"/>
    </w:rPr>
  </w:style>
  <w:style w:type="paragraph" w:customStyle="1" w:styleId="SuperTitle">
    <w:name w:val="SuperTitle"/>
    <w:basedOn w:val="Title"/>
    <w:rsid w:val="00F57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F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F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FB1"/>
    <w:rPr>
      <w:i/>
    </w:rPr>
  </w:style>
  <w:style w:type="paragraph" w:styleId="Caption">
    <w:name w:val="caption"/>
    <w:basedOn w:val="BodyText"/>
    <w:next w:val="Normal"/>
    <w:qFormat/>
    <w:rsid w:val="00F57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FB1"/>
  </w:style>
  <w:style w:type="paragraph" w:styleId="TableofFigures">
    <w:name w:val="table of figures"/>
    <w:basedOn w:val="Normal"/>
    <w:next w:val="Normal"/>
    <w:semiHidden/>
    <w:rsid w:val="00F57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FB1"/>
    <w:pPr>
      <w:numPr>
        <w:numId w:val="11"/>
      </w:numPr>
    </w:pPr>
  </w:style>
  <w:style w:type="character" w:customStyle="1" w:styleId="WingdingSymbols">
    <w:name w:val="Wingding Symbols"/>
    <w:rsid w:val="00F57FB1"/>
    <w:rPr>
      <w:rFonts w:ascii="Wingdings" w:hAnsi="Wingdings"/>
    </w:rPr>
  </w:style>
  <w:style w:type="paragraph" w:customStyle="1" w:styleId="TableHeading">
    <w:name w:val="Table Heading"/>
    <w:basedOn w:val="HeadingBase"/>
    <w:rsid w:val="00F57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FB1"/>
    <w:rPr>
      <w:color w:val="0033CC"/>
      <w:u w:val="none"/>
    </w:rPr>
  </w:style>
  <w:style w:type="paragraph" w:customStyle="1" w:styleId="BodyTextRight">
    <w:name w:val="Body Text Right"/>
    <w:basedOn w:val="BodyText"/>
    <w:rsid w:val="00F57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F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F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FB1"/>
    <w:rPr>
      <w:sz w:val="32"/>
    </w:rPr>
  </w:style>
  <w:style w:type="paragraph" w:customStyle="1" w:styleId="HeadingProcedure">
    <w:name w:val="Heading Procedure"/>
    <w:basedOn w:val="HeadingBase"/>
    <w:next w:val="Normal"/>
    <w:rsid w:val="00F57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FB1"/>
    <w:pPr>
      <w:spacing w:before="60" w:after="60"/>
    </w:pPr>
  </w:style>
  <w:style w:type="paragraph" w:styleId="ListContinue">
    <w:name w:val="List Continue"/>
    <w:basedOn w:val="List"/>
    <w:rsid w:val="00F57FB1"/>
    <w:pPr>
      <w:ind w:firstLine="0"/>
    </w:pPr>
  </w:style>
  <w:style w:type="paragraph" w:customStyle="1" w:styleId="ListNote">
    <w:name w:val="List Note"/>
    <w:basedOn w:val="List"/>
    <w:rsid w:val="00F57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FB1"/>
    <w:rPr>
      <w:rFonts w:ascii="Courier New" w:hAnsi="Courier New"/>
    </w:rPr>
  </w:style>
  <w:style w:type="paragraph" w:customStyle="1" w:styleId="NoteBullet">
    <w:name w:val="Note Bullet"/>
    <w:basedOn w:val="Note"/>
    <w:rsid w:val="00F57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F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7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F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FB1"/>
    <w:rPr>
      <w:b/>
      <w:smallCaps/>
    </w:rPr>
  </w:style>
  <w:style w:type="paragraph" w:customStyle="1" w:styleId="TableListNumber">
    <w:name w:val="Table List Number"/>
    <w:basedOn w:val="ListNumber"/>
    <w:rsid w:val="00F57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FB1"/>
    <w:pPr>
      <w:numPr>
        <w:numId w:val="9"/>
      </w:numPr>
    </w:pPr>
  </w:style>
  <w:style w:type="paragraph" w:customStyle="1" w:styleId="ListAlpha2">
    <w:name w:val="List Alpha 2"/>
    <w:basedOn w:val="List2"/>
    <w:rsid w:val="00F57FB1"/>
    <w:pPr>
      <w:numPr>
        <w:numId w:val="8"/>
      </w:numPr>
    </w:pPr>
  </w:style>
  <w:style w:type="paragraph" w:styleId="List2">
    <w:name w:val="List 2"/>
    <w:basedOn w:val="BodyText"/>
    <w:rsid w:val="00F57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F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F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F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FB1"/>
    <w:pPr>
      <w:numPr>
        <w:numId w:val="4"/>
      </w:numPr>
    </w:pPr>
  </w:style>
  <w:style w:type="paragraph" w:styleId="ListContinue2">
    <w:name w:val="List Continue 2"/>
    <w:basedOn w:val="List2"/>
    <w:rsid w:val="00F57FB1"/>
    <w:pPr>
      <w:ind w:firstLine="0"/>
    </w:pPr>
  </w:style>
  <w:style w:type="paragraph" w:styleId="ListContinue3">
    <w:name w:val="List Continue 3"/>
    <w:basedOn w:val="List3"/>
    <w:rsid w:val="00F57FB1"/>
    <w:pPr>
      <w:ind w:left="1021" w:firstLine="0"/>
    </w:pPr>
  </w:style>
  <w:style w:type="paragraph" w:styleId="ListContinue4">
    <w:name w:val="List Continue 4"/>
    <w:basedOn w:val="List4"/>
    <w:rsid w:val="00F57FB1"/>
    <w:pPr>
      <w:ind w:firstLine="0"/>
    </w:pPr>
  </w:style>
  <w:style w:type="paragraph" w:styleId="ListContinue5">
    <w:name w:val="List Continue 5"/>
    <w:basedOn w:val="List5"/>
    <w:rsid w:val="00F57FB1"/>
    <w:pPr>
      <w:ind w:firstLine="0"/>
    </w:pPr>
  </w:style>
  <w:style w:type="paragraph" w:styleId="ListNumber3">
    <w:name w:val="List Number 3"/>
    <w:basedOn w:val="List3"/>
    <w:rsid w:val="00F57FB1"/>
    <w:pPr>
      <w:numPr>
        <w:numId w:val="5"/>
      </w:numPr>
    </w:pPr>
  </w:style>
  <w:style w:type="paragraph" w:styleId="ListNumber4">
    <w:name w:val="List Number 4"/>
    <w:basedOn w:val="List4"/>
    <w:rsid w:val="00F57FB1"/>
    <w:pPr>
      <w:numPr>
        <w:numId w:val="6"/>
      </w:numPr>
    </w:pPr>
  </w:style>
  <w:style w:type="paragraph" w:styleId="ListNumber5">
    <w:name w:val="List Number 5"/>
    <w:basedOn w:val="List5"/>
    <w:rsid w:val="00F57FB1"/>
    <w:pPr>
      <w:numPr>
        <w:numId w:val="7"/>
      </w:numPr>
    </w:pPr>
  </w:style>
  <w:style w:type="paragraph" w:styleId="BlockText">
    <w:name w:val="Block Text"/>
    <w:basedOn w:val="Normal"/>
    <w:rsid w:val="00F57F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F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FB1"/>
    <w:rPr>
      <w:sz w:val="16"/>
      <w:vertAlign w:val="superscript"/>
    </w:rPr>
  </w:style>
  <w:style w:type="character" w:customStyle="1" w:styleId="Symbols">
    <w:name w:val="Symbols"/>
    <w:basedOn w:val="DefaultParagraphFont"/>
    <w:rsid w:val="00F57FB1"/>
    <w:rPr>
      <w:rFonts w:ascii="Symbol" w:hAnsi="Symbol"/>
    </w:rPr>
  </w:style>
  <w:style w:type="character" w:customStyle="1" w:styleId="MenuOptions">
    <w:name w:val="Menu Options"/>
    <w:basedOn w:val="DefaultParagraphFont"/>
    <w:rsid w:val="00F57F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FB1"/>
    <w:rPr>
      <w:b/>
    </w:rPr>
  </w:style>
  <w:style w:type="character" w:customStyle="1" w:styleId="Underlined">
    <w:name w:val="Underlined"/>
    <w:basedOn w:val="DefaultParagraphFont"/>
    <w:rsid w:val="00F57FB1"/>
    <w:rPr>
      <w:u w:val="single"/>
    </w:rPr>
  </w:style>
  <w:style w:type="paragraph" w:customStyle="1" w:styleId="TableBodyTextRight">
    <w:name w:val="Table Body Text Right"/>
    <w:basedOn w:val="TableBodyText"/>
    <w:rsid w:val="00F57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FB1"/>
    <w:rPr>
      <w:sz w:val="18"/>
    </w:rPr>
  </w:style>
  <w:style w:type="paragraph" w:customStyle="1" w:styleId="BodySmallRight">
    <w:name w:val="Body Small Right"/>
    <w:basedOn w:val="BodyTextRight"/>
    <w:rsid w:val="00F57FB1"/>
    <w:rPr>
      <w:sz w:val="18"/>
      <w:szCs w:val="18"/>
    </w:rPr>
  </w:style>
  <w:style w:type="paragraph" w:customStyle="1" w:styleId="MarginEdition">
    <w:name w:val="Margin Edition"/>
    <w:basedOn w:val="MarginNote"/>
    <w:rsid w:val="00F57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FB1"/>
    <w:rPr>
      <w:sz w:val="2"/>
      <w:szCs w:val="2"/>
    </w:rPr>
  </w:style>
  <w:style w:type="character" w:customStyle="1" w:styleId="Small">
    <w:name w:val="Small"/>
    <w:basedOn w:val="DefaultParagraphFont"/>
    <w:rsid w:val="00F57FB1"/>
    <w:rPr>
      <w:sz w:val="16"/>
    </w:rPr>
  </w:style>
  <w:style w:type="paragraph" w:customStyle="1" w:styleId="WideTable">
    <w:name w:val="Wide Table"/>
    <w:basedOn w:val="Normal"/>
    <w:rsid w:val="00F57F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FB1"/>
  </w:style>
  <w:style w:type="paragraph" w:styleId="Quote">
    <w:name w:val="Quote"/>
    <w:basedOn w:val="Heading1"/>
    <w:link w:val="QuoteChar"/>
    <w:qFormat/>
    <w:rsid w:val="00F57F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FB1"/>
    <w:pPr>
      <w:pageBreakBefore/>
    </w:pPr>
  </w:style>
  <w:style w:type="paragraph" w:customStyle="1" w:styleId="Border">
    <w:name w:val="Border"/>
    <w:basedOn w:val="Normal"/>
    <w:qFormat/>
    <w:rsid w:val="00F57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F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F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FB1"/>
    <w:rPr>
      <w:u w:val="single"/>
    </w:rPr>
  </w:style>
  <w:style w:type="character" w:customStyle="1" w:styleId="BoldandItalics">
    <w:name w:val="Bold and Italics"/>
    <w:qFormat/>
    <w:rsid w:val="00F57FB1"/>
    <w:rPr>
      <w:b/>
      <w:i/>
      <w:u w:val="none"/>
    </w:rPr>
  </w:style>
  <w:style w:type="paragraph" w:styleId="BalloonText">
    <w:name w:val="Balloon Text"/>
    <w:basedOn w:val="Normal"/>
    <w:link w:val="BalloonTextChar"/>
    <w:rsid w:val="00F57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F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F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F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F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F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4866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MSL974001 Prepare, standardise and use solutions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2016-03-01T06:20:00Z</dcterms:created>
  <dcterms:modified xsi:type="dcterms:W3CDTF">2016-03-01T06:20:00Z</dcterms:modified>
</cp:coreProperties>
</file>