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A54" w:rsidP="001E5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MSL973027 Perform techniques that prevent cross-contamination</w:t>
      </w:r>
      <w:r>
        <w:fldChar w:fldCharType="end"/>
      </w:r>
    </w:p>
    <w:p w:rsidR="001E5A54" w:rsidP="001E5A54">
      <w:pPr>
        <w:pStyle w:val="Version"/>
        <w:sectPr w:rsidSect="002D6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5E8" w:rsidP="002D65E8">
      <w:pPr>
        <w:pStyle w:val="SuperHeading"/>
      </w:pPr>
      <w:r w:rsidRPr="002D65E8">
        <w:t>Assessment Requirements for MSL973027 Perform techniques that prevent cross-contamination</w:t>
      </w:r>
    </w:p>
    <w:p w:rsidR="00000000" w:rsidRPr="002D65E8" w:rsidP="002D65E8">
      <w:pPr>
        <w:pStyle w:val="Heading1"/>
      </w:pPr>
      <w:bookmarkStart w:id="1" w:name="O_1258246"/>
      <w:bookmarkEnd w:id="1"/>
      <w:r w:rsidRPr="002D65E8">
        <w:t>Modification History</w:t>
      </w:r>
    </w:p>
    <w:p w:rsidR="001E5A54" w:rsidP="001E5A54">
      <w:pPr>
        <w:pStyle w:val="BodyText"/>
      </w:pPr>
      <w:r w:rsidRPr="002D65E8">
        <w:t xml:space="preserve">Release 1. Supersedes and equivalent to MSL973016 Perform aseptic techniques. Title changed to indicate broader scope. Two Performance Criteria removed from Element 2 to reflect increasing use of single-use items. Slight adjustment to Performance Evidence </w:t>
      </w:r>
      <w:r w:rsidRPr="002D65E8">
        <w:t>to include additional sample type. Addition to Knowledge Evidence in relation to handling specimens and processing samples for molecular analysis. Removal of some example detail from Assessment Conditions.</w:t>
      </w:r>
    </w:p>
    <w:p w:rsidR="00000000" w:rsidRPr="002D65E8" w:rsidP="002D65E8">
      <w:pPr>
        <w:pStyle w:val="Heading1"/>
      </w:pPr>
      <w:bookmarkStart w:id="2" w:name="O_1258247"/>
      <w:bookmarkEnd w:id="2"/>
      <w:r w:rsidRPr="002D65E8">
        <w:t>Performance Evidence</w:t>
      </w:r>
    </w:p>
    <w:p w:rsidR="00000000" w:rsidRPr="002D65E8" w:rsidP="001E5A54">
      <w:pPr>
        <w:pStyle w:val="BodyText"/>
      </w:pPr>
      <w:r w:rsidRPr="002D65E8">
        <w:t>There mus</w:t>
      </w:r>
      <w:r w:rsidRPr="002D65E8">
        <w:t>t be evidence the candidate has completed the tasks outlined in the elements and performance criteria of this unit, and:</w:t>
      </w:r>
    </w:p>
    <w:p w:rsidR="00000000" w:rsidRPr="002D65E8" w:rsidP="002D65E8">
      <w:pPr>
        <w:pStyle w:val="ListBullet"/>
      </w:pPr>
      <w:r w:rsidRPr="002D65E8">
        <w:t>safely and effectively performed techniques that prevent cross-contamination when performing at least 3 different types of sample tran</w:t>
      </w:r>
      <w:r w:rsidRPr="002D65E8">
        <w:t>sfers, with at least 3 from the following list:</w:t>
      </w:r>
    </w:p>
    <w:p w:rsidR="00000000" w:rsidRPr="002D65E8" w:rsidP="002D65E8">
      <w:pPr>
        <w:pStyle w:val="ListBullet2"/>
      </w:pPr>
      <w:r w:rsidRPr="002D65E8">
        <w:t>bacterial cultures</w:t>
      </w:r>
    </w:p>
    <w:p w:rsidR="00000000" w:rsidRPr="002D65E8" w:rsidP="002D65E8">
      <w:pPr>
        <w:pStyle w:val="ListBullet2"/>
      </w:pPr>
      <w:r w:rsidRPr="002D65E8">
        <w:t>body fluids (or simulated body fluids)</w:t>
      </w:r>
    </w:p>
    <w:p w:rsidR="00000000" w:rsidRPr="002D65E8" w:rsidP="002D65E8">
      <w:pPr>
        <w:pStyle w:val="ListBullet2"/>
      </w:pPr>
      <w:r w:rsidRPr="002D65E8">
        <w:t>sterile liquid culture media</w:t>
      </w:r>
    </w:p>
    <w:p w:rsidR="00000000" w:rsidRPr="002D65E8" w:rsidP="002D65E8">
      <w:pPr>
        <w:pStyle w:val="ListBullet2"/>
      </w:pPr>
      <w:r w:rsidRPr="002D65E8">
        <w:t>purified reagents</w:t>
      </w:r>
    </w:p>
    <w:p w:rsidR="00000000" w:rsidRPr="002D65E8" w:rsidP="002D65E8">
      <w:pPr>
        <w:pStyle w:val="ListBullet2"/>
      </w:pPr>
      <w:r w:rsidRPr="002D65E8">
        <w:t>water</w:t>
      </w:r>
    </w:p>
    <w:p w:rsidR="00000000" w:rsidRPr="002D65E8" w:rsidP="002D65E8">
      <w:pPr>
        <w:pStyle w:val="ListBullet2"/>
      </w:pPr>
      <w:r w:rsidRPr="002D65E8">
        <w:t>soil</w:t>
      </w:r>
    </w:p>
    <w:p w:rsidR="00000000" w:rsidRPr="002D65E8" w:rsidP="002D65E8">
      <w:pPr>
        <w:pStyle w:val="ListBullet2"/>
      </w:pPr>
      <w:r w:rsidRPr="002D65E8">
        <w:t>sterile pharmaceuticals</w:t>
      </w:r>
    </w:p>
    <w:p w:rsidR="00000000" w:rsidRPr="002D65E8" w:rsidP="002D65E8">
      <w:pPr>
        <w:pStyle w:val="ListBullet2"/>
      </w:pPr>
      <w:r w:rsidRPr="002D65E8">
        <w:t>fungi</w:t>
      </w:r>
    </w:p>
    <w:p w:rsidR="00000000" w:rsidRPr="002D65E8" w:rsidP="002D65E8">
      <w:pPr>
        <w:pStyle w:val="ListBullet2"/>
      </w:pPr>
      <w:r w:rsidRPr="002D65E8">
        <w:t>dairy product</w:t>
      </w:r>
    </w:p>
    <w:p w:rsidR="00000000" w:rsidRPr="002D65E8" w:rsidP="002D65E8">
      <w:pPr>
        <w:pStyle w:val="ListBullet2"/>
      </w:pPr>
      <w:r w:rsidRPr="002D65E8">
        <w:t>swabs</w:t>
      </w:r>
    </w:p>
    <w:p w:rsidR="00000000" w:rsidRPr="002D65E8" w:rsidP="002D65E8">
      <w:pPr>
        <w:pStyle w:val="ListBullet2"/>
      </w:pPr>
      <w:r w:rsidRPr="002D65E8">
        <w:t>smears</w:t>
      </w:r>
    </w:p>
    <w:p w:rsidR="00000000" w:rsidRPr="002D65E8" w:rsidP="002D65E8">
      <w:pPr>
        <w:pStyle w:val="ListBullet2"/>
      </w:pPr>
      <w:r w:rsidRPr="002D65E8">
        <w:t>propagation tissue</w:t>
      </w:r>
    </w:p>
    <w:p w:rsidR="00000000" w:rsidRPr="002D65E8" w:rsidP="002D65E8">
      <w:pPr>
        <w:pStyle w:val="ListBullet2"/>
      </w:pPr>
      <w:r w:rsidRPr="002D65E8">
        <w:t>plant material</w:t>
      </w:r>
    </w:p>
    <w:p w:rsidR="00000000" w:rsidRPr="002D65E8" w:rsidP="002D65E8">
      <w:pPr>
        <w:pStyle w:val="ListBullet2"/>
      </w:pPr>
      <w:r w:rsidRPr="002D65E8">
        <w:t xml:space="preserve">fermented foods </w:t>
      </w:r>
    </w:p>
    <w:p w:rsidR="00000000" w:rsidRPr="002D65E8" w:rsidP="002D65E8">
      <w:pPr>
        <w:pStyle w:val="ListBullet2"/>
      </w:pPr>
      <w:r w:rsidRPr="002D65E8">
        <w:t>fermented beverages</w:t>
      </w:r>
    </w:p>
    <w:p w:rsidR="001E5A54" w:rsidP="002D65E8">
      <w:pPr>
        <w:pStyle w:val="ListBullet2"/>
      </w:pPr>
      <w:r w:rsidRPr="002D65E8">
        <w:t>Fresh animal tissue</w:t>
      </w:r>
    </w:p>
    <w:p w:rsidR="001E5A54" w:rsidP="002D65E8">
      <w:pPr>
        <w:pStyle w:val="ListBullet2"/>
      </w:pPr>
    </w:p>
    <w:p w:rsidR="00000000" w:rsidRPr="002D65E8" w:rsidP="002D65E8">
      <w:pPr>
        <w:pStyle w:val="Heading1"/>
      </w:pPr>
      <w:bookmarkStart w:id="3" w:name="O_1258248"/>
      <w:bookmarkEnd w:id="3"/>
      <w:r w:rsidRPr="002D65E8">
        <w:t>Knowledge Evidence</w:t>
      </w:r>
    </w:p>
    <w:p w:rsidR="00000000" w:rsidRPr="002D65E8" w:rsidP="001E5A54">
      <w:pPr>
        <w:pStyle w:val="BodyText"/>
      </w:pPr>
      <w:r w:rsidRPr="002D65E8">
        <w:t>There must be evidence the candidate has knowledge of:</w:t>
      </w:r>
    </w:p>
    <w:p w:rsidR="00000000" w:rsidRPr="002D65E8" w:rsidP="002D65E8">
      <w:pPr>
        <w:pStyle w:val="ListBullet"/>
      </w:pPr>
      <w:r w:rsidRPr="002D65E8">
        <w:t>principles of aseptic techniques</w:t>
      </w:r>
    </w:p>
    <w:p w:rsidR="00000000" w:rsidRPr="002D65E8" w:rsidP="002D65E8">
      <w:pPr>
        <w:pStyle w:val="ListBullet"/>
      </w:pPr>
      <w:r w:rsidRPr="002D65E8">
        <w:t>growth requirements of microorganisms including bacteria and fungi in terms of their laboratory culture</w:t>
      </w:r>
    </w:p>
    <w:p w:rsidR="00000000" w:rsidRPr="002D65E8" w:rsidP="002D65E8">
      <w:pPr>
        <w:pStyle w:val="ListBullet"/>
      </w:pPr>
      <w:r w:rsidRPr="002D65E8">
        <w:t>relationship between sterile practices, hygiene procedures and the ability to obtain samples free of contamination</w:t>
      </w:r>
    </w:p>
    <w:p w:rsidR="00000000" w:rsidRPr="002D65E8" w:rsidP="002D65E8">
      <w:pPr>
        <w:pStyle w:val="ListBullet"/>
      </w:pPr>
      <w:r w:rsidRPr="002D65E8">
        <w:t>relationship between sterile practice</w:t>
      </w:r>
      <w:r w:rsidRPr="002D65E8">
        <w:t>s and accurate test results</w:t>
      </w:r>
    </w:p>
    <w:p w:rsidR="00000000" w:rsidRPr="002D65E8" w:rsidP="002D65E8">
      <w:pPr>
        <w:pStyle w:val="ListBullet"/>
      </w:pPr>
      <w:r w:rsidRPr="002D65E8">
        <w:t>importance of pure culture techniques and aseptic transfer to the successful microbiological investigation and correct interpretation of laboratory results</w:t>
      </w:r>
    </w:p>
    <w:p w:rsidR="00000000" w:rsidRPr="002D65E8" w:rsidP="002D65E8">
      <w:pPr>
        <w:pStyle w:val="ListBullet"/>
      </w:pPr>
      <w:r w:rsidRPr="002D65E8">
        <w:t>cleaning and sanitising requirements of equipment and work area, and eff</w:t>
      </w:r>
      <w:r w:rsidRPr="002D65E8">
        <w:t>ects of physical and chemical agents on microbial growth and death</w:t>
      </w:r>
    </w:p>
    <w:p w:rsidR="00000000" w:rsidRPr="002D65E8" w:rsidP="002D65E8">
      <w:pPr>
        <w:pStyle w:val="ListBullet"/>
      </w:pPr>
      <w:r w:rsidRPr="002D65E8">
        <w:t>requirements for handling specimens and processing samples for molecular analysis including nucleic acids and amplified specimens.</w:t>
      </w:r>
    </w:p>
    <w:p w:rsidR="00000000" w:rsidRPr="002D65E8" w:rsidP="002D65E8">
      <w:pPr>
        <w:pStyle w:val="ListBullet"/>
      </w:pPr>
      <w:r w:rsidRPr="002D65E8">
        <w:t>principles of workflow isolation to minimise contamination</w:t>
      </w:r>
    </w:p>
    <w:p w:rsidR="00000000" w:rsidRPr="002D65E8" w:rsidP="002D65E8">
      <w:pPr>
        <w:pStyle w:val="ListBullet"/>
      </w:pPr>
      <w:r w:rsidRPr="002D65E8">
        <w:t>sterilisation techniques, including:</w:t>
      </w:r>
    </w:p>
    <w:p w:rsidR="00000000" w:rsidRPr="002D65E8" w:rsidP="002D65E8">
      <w:pPr>
        <w:pStyle w:val="ListBullet2"/>
      </w:pPr>
      <w:r w:rsidRPr="002D65E8">
        <w:t>flaming instruments and vessel openings</w:t>
      </w:r>
    </w:p>
    <w:p w:rsidR="00000000" w:rsidRPr="002D65E8" w:rsidP="002D65E8">
      <w:pPr>
        <w:pStyle w:val="ListBullet2"/>
      </w:pPr>
      <w:r w:rsidRPr="002D65E8">
        <w:t>high temperature, boiling and autoclaving</w:t>
      </w:r>
    </w:p>
    <w:p w:rsidR="00000000" w:rsidRPr="002D65E8" w:rsidP="002D65E8">
      <w:pPr>
        <w:pStyle w:val="ListBullet2"/>
      </w:pPr>
      <w:r w:rsidRPr="002D65E8">
        <w:t>membrane filtration</w:t>
      </w:r>
    </w:p>
    <w:p w:rsidR="00000000" w:rsidRPr="002D65E8" w:rsidP="002D65E8">
      <w:pPr>
        <w:pStyle w:val="ListBullet2"/>
      </w:pPr>
      <w:r w:rsidRPr="002D65E8">
        <w:t>radiation, gas and/or chemical treatments</w:t>
      </w:r>
    </w:p>
    <w:p w:rsidR="00000000" w:rsidRPr="002D65E8" w:rsidP="002D65E8">
      <w:pPr>
        <w:pStyle w:val="ListBullet"/>
      </w:pPr>
      <w:r w:rsidRPr="002D65E8">
        <w:t>disinfection and sterilisation procedures used in the collection, proces</w:t>
      </w:r>
      <w:r w:rsidRPr="002D65E8">
        <w:t>sing and safe disposal of samples and materials</w:t>
      </w:r>
    </w:p>
    <w:p w:rsidR="00000000" w:rsidRPr="002D65E8" w:rsidP="002D65E8">
      <w:pPr>
        <w:pStyle w:val="ListBullet"/>
      </w:pPr>
      <w:r w:rsidRPr="002D65E8">
        <w:t>principles of infection control related to work health and safety (WHS), and sampling and transfer of materials in microbiological investigations including how to minimise the generation of aerosols when flaming</w:t>
      </w:r>
    </w:p>
    <w:p w:rsidR="00000000" w:rsidRPr="002D65E8" w:rsidP="002D65E8">
      <w:pPr>
        <w:pStyle w:val="ListBullet"/>
      </w:pPr>
      <w:r w:rsidRPr="002D65E8">
        <w:t>relevant hazards and how to deal with the ri</w:t>
      </w:r>
      <w:r w:rsidRPr="002D65E8">
        <w:t>sks presented, including:</w:t>
      </w:r>
    </w:p>
    <w:p w:rsidR="00000000" w:rsidRPr="002D65E8" w:rsidP="002D65E8">
      <w:pPr>
        <w:pStyle w:val="ListBullet2"/>
      </w:pPr>
      <w:r w:rsidRPr="002D65E8">
        <w:t>injuries from sharps, burners, molten agar</w:t>
      </w:r>
    </w:p>
    <w:p w:rsidR="00000000" w:rsidRPr="002D65E8" w:rsidP="002D65E8">
      <w:pPr>
        <w:pStyle w:val="ListBullet2"/>
      </w:pPr>
      <w:r w:rsidRPr="002D65E8">
        <w:t>ultraviolet (UV) light sources</w:t>
      </w:r>
    </w:p>
    <w:p w:rsidR="00000000" w:rsidRPr="002D65E8" w:rsidP="002D65E8">
      <w:pPr>
        <w:pStyle w:val="ListBullet2"/>
      </w:pPr>
      <w:r w:rsidRPr="002D65E8">
        <w:t>exposure to hazardous substances and/or infectious agents</w:t>
      </w:r>
    </w:p>
    <w:p w:rsidR="00000000" w:rsidRPr="002D65E8" w:rsidP="002D65E8">
      <w:pPr>
        <w:pStyle w:val="ListBullet"/>
      </w:pPr>
      <w:r w:rsidRPr="002D65E8">
        <w:t>types and purpose of chemical and biological fume and safety cabinets</w:t>
      </w:r>
    </w:p>
    <w:p w:rsidR="00000000" w:rsidRPr="002D65E8" w:rsidP="002D65E8">
      <w:pPr>
        <w:pStyle w:val="ListBullet"/>
      </w:pPr>
      <w:r w:rsidRPr="002D65E8">
        <w:t>environmental sustainabili</w:t>
      </w:r>
      <w:r w:rsidRPr="002D65E8">
        <w:t xml:space="preserve">ty issues as they relate to the work task </w:t>
      </w:r>
    </w:p>
    <w:p w:rsidR="001E5A54" w:rsidP="002D65E8">
      <w:pPr>
        <w:pStyle w:val="ListBullet"/>
      </w:pPr>
      <w:r w:rsidRPr="002D65E8">
        <w:t xml:space="preserve">legal, ethical and WHS requirements specific to the work task. </w:t>
      </w:r>
    </w:p>
    <w:p w:rsidR="001E5A54" w:rsidP="002D65E8">
      <w:pPr>
        <w:pStyle w:val="ListBullet"/>
      </w:pPr>
    </w:p>
    <w:p w:rsidR="00000000" w:rsidRPr="002D65E8" w:rsidP="002D65E8">
      <w:pPr>
        <w:pStyle w:val="Heading1"/>
      </w:pPr>
      <w:bookmarkStart w:id="4" w:name="O_1258249"/>
      <w:bookmarkEnd w:id="4"/>
      <w:r w:rsidRPr="002D65E8">
        <w:t>Assessment Conditions</w:t>
      </w:r>
    </w:p>
    <w:p w:rsidR="00000000" w:rsidRPr="002D65E8" w:rsidP="001E5A54">
      <w:pPr>
        <w:pStyle w:val="BodyText"/>
      </w:pPr>
      <w:r w:rsidRPr="002D65E8">
        <w:t>Skills must have been demonstrated in the workplace or in a simulated environment that reflects workplace c</w:t>
      </w:r>
      <w:r w:rsidRPr="002D65E8">
        <w:t xml:space="preserve">onditions and contingencies. The following conditions must be met for this unit: </w:t>
      </w:r>
    </w:p>
    <w:p w:rsidR="00000000" w:rsidRPr="002D65E8" w:rsidP="002D65E8">
      <w:pPr>
        <w:pStyle w:val="ListBullet"/>
      </w:pPr>
      <w:r w:rsidRPr="002D65E8">
        <w:t xml:space="preserve">use of suitable facilities, equipment and resources, including: </w:t>
      </w:r>
    </w:p>
    <w:p w:rsidR="00000000" w:rsidRPr="002D65E8" w:rsidP="002D65E8">
      <w:pPr>
        <w:pStyle w:val="ListBullet2"/>
      </w:pPr>
      <w:r w:rsidRPr="002D65E8">
        <w:t>a standard laboratory</w:t>
      </w:r>
    </w:p>
    <w:p w:rsidR="00000000" w:rsidRPr="002D65E8" w:rsidP="002D65E8">
      <w:pPr>
        <w:pStyle w:val="ListBullet2"/>
      </w:pPr>
      <w:r w:rsidRPr="002D65E8">
        <w:t>test samples</w:t>
      </w:r>
    </w:p>
    <w:p w:rsidR="00000000" w:rsidRPr="002D65E8" w:rsidP="002D65E8">
      <w:pPr>
        <w:pStyle w:val="ListBullet2"/>
      </w:pPr>
      <w:r w:rsidRPr="002D65E8">
        <w:t>appropriate equipment, including:</w:t>
      </w:r>
    </w:p>
    <w:p w:rsidR="00000000" w:rsidRPr="002D65E8" w:rsidP="002D65E8">
      <w:pPr>
        <w:pStyle w:val="ListBullet3"/>
      </w:pPr>
      <w:r w:rsidRPr="002D65E8">
        <w:t>transfer equipment</w:t>
      </w:r>
    </w:p>
    <w:p w:rsidR="00000000" w:rsidRPr="002D65E8" w:rsidP="002D65E8">
      <w:pPr>
        <w:pStyle w:val="ListBullet3"/>
      </w:pPr>
      <w:r w:rsidRPr="002D65E8">
        <w:t xml:space="preserve">storage equipment </w:t>
      </w:r>
    </w:p>
    <w:p w:rsidR="00000000" w:rsidRPr="002D65E8" w:rsidP="002D65E8">
      <w:pPr>
        <w:pStyle w:val="ListBullet3"/>
      </w:pPr>
      <w:r w:rsidRPr="002D65E8">
        <w:t>laminar flow units or biohazard cabinets as required</w:t>
      </w:r>
    </w:p>
    <w:p w:rsidR="00000000" w:rsidRPr="002D65E8" w:rsidP="002D65E8">
      <w:pPr>
        <w:pStyle w:val="ListBullet3"/>
      </w:pPr>
      <w:r w:rsidRPr="002D65E8">
        <w:t>swabs</w:t>
      </w:r>
    </w:p>
    <w:p w:rsidR="00000000" w:rsidRPr="002D65E8" w:rsidP="002D65E8">
      <w:pPr>
        <w:pStyle w:val="ListBullet2"/>
      </w:pPr>
      <w:r w:rsidRPr="002D65E8">
        <w:t>appropriate materials, including:</w:t>
      </w:r>
    </w:p>
    <w:p w:rsidR="00000000" w:rsidRPr="002D65E8" w:rsidP="002D65E8">
      <w:pPr>
        <w:pStyle w:val="ListBullet3"/>
      </w:pPr>
      <w:r w:rsidRPr="002D65E8">
        <w:t>solid and/or liquid media</w:t>
      </w:r>
    </w:p>
    <w:p w:rsidR="00000000" w:rsidRPr="002D65E8" w:rsidP="002D65E8">
      <w:pPr>
        <w:pStyle w:val="ListBullet3"/>
      </w:pPr>
      <w:r w:rsidRPr="002D65E8">
        <w:t>disinfecting agents</w:t>
      </w:r>
    </w:p>
    <w:p w:rsidR="00000000" w:rsidRPr="002D65E8" w:rsidP="002D65E8">
      <w:pPr>
        <w:pStyle w:val="ListBullet3"/>
      </w:pPr>
      <w:r w:rsidRPr="002D65E8">
        <w:t>consumables</w:t>
      </w:r>
    </w:p>
    <w:p w:rsidR="00000000" w:rsidRPr="002D65E8" w:rsidP="002D65E8">
      <w:pPr>
        <w:pStyle w:val="ListBullet3"/>
      </w:pPr>
      <w:r w:rsidRPr="002D65E8">
        <w:t>receptacles for safe disposal of wastes and for processing of reusable materials</w:t>
      </w:r>
    </w:p>
    <w:p w:rsidR="00000000" w:rsidRPr="002D65E8" w:rsidP="002D65E8">
      <w:pPr>
        <w:pStyle w:val="ListBullet2"/>
      </w:pPr>
      <w:r w:rsidRPr="002D65E8">
        <w:t xml:space="preserve">workplace schedules </w:t>
      </w:r>
      <w:r w:rsidRPr="002D65E8">
        <w:t>and procedures, safety data sheets (SDS) and documented safe work practices.</w:t>
      </w:r>
    </w:p>
    <w:p w:rsidR="001E5A54" w:rsidP="001E5A54">
      <w:pPr>
        <w:pStyle w:val="BodyText"/>
      </w:pPr>
      <w:r w:rsidRPr="002D65E8">
        <w:t>Assessors must satisfy the NVR/AQTF mandatory competency requirements for assessors.</w:t>
      </w:r>
    </w:p>
    <w:p w:rsidR="00000000" w:rsidRPr="002D65E8" w:rsidP="002D65E8">
      <w:pPr>
        <w:pStyle w:val="Heading1"/>
      </w:pPr>
      <w:bookmarkStart w:id="5" w:name="O_1258252"/>
      <w:bookmarkEnd w:id="5"/>
      <w:r w:rsidRPr="002D65E8">
        <w:t>Links</w:t>
      </w:r>
    </w:p>
    <w:p w:rsidR="00000000" w:rsidRPr="002D65E8" w:rsidP="001E5A54">
      <w:pPr>
        <w:pStyle w:val="BodyText"/>
      </w:pPr>
      <w:r w:rsidRPr="002D65E8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E0AE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D65E8" w:rsidP="002D65E8"/>
    <w:sectPr w:rsidSect="002D6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8" w:rsidRPr="001E5A54" w:rsidP="001E5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54" w:rsidP="002D6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A54" w:rsidP="002D6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5A54" w:rsidP="002D6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5E8" w:rsidRPr="001E5A54" w:rsidP="001E5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A54" w:rsidRPr="002D2AF8" w:rsidP="002D6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MSL973027 Perform techniques that prevent cross-contamination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5A54" w:rsidP="002D6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648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3E7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E0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5E8"/>
  </w:style>
  <w:style w:type="character" w:customStyle="1" w:styleId="Heading1Char">
    <w:name w:val="Heading 1 Char"/>
    <w:basedOn w:val="DefaultParagraphFont"/>
    <w:link w:val="Heading1"/>
    <w:rsid w:val="002D6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5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65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65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6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5E8"/>
    <w:rPr>
      <w:b/>
      <w:spacing w:val="0"/>
    </w:rPr>
  </w:style>
  <w:style w:type="paragraph" w:customStyle="1" w:styleId="SuperTitle">
    <w:name w:val="SuperTitle"/>
    <w:basedOn w:val="Title"/>
    <w:rsid w:val="002D6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5E8"/>
    <w:rPr>
      <w:i/>
    </w:rPr>
  </w:style>
  <w:style w:type="paragraph" w:styleId="Caption">
    <w:name w:val="caption"/>
    <w:basedOn w:val="BodyText"/>
    <w:next w:val="Normal"/>
    <w:qFormat/>
    <w:rsid w:val="002D6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5E8"/>
  </w:style>
  <w:style w:type="paragraph" w:styleId="TableofFigures">
    <w:name w:val="table of figures"/>
    <w:basedOn w:val="Normal"/>
    <w:next w:val="Normal"/>
    <w:semiHidden/>
    <w:rsid w:val="002D6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5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65E8"/>
    <w:rPr>
      <w:rFonts w:ascii="Wingdings" w:hAnsi="Wingdings"/>
    </w:rPr>
  </w:style>
  <w:style w:type="paragraph" w:customStyle="1" w:styleId="TableHeading">
    <w:name w:val="Table Heading"/>
    <w:basedOn w:val="HeadingBase"/>
    <w:rsid w:val="002D6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5E8"/>
    <w:rPr>
      <w:color w:val="0033CC"/>
      <w:u w:val="none"/>
    </w:rPr>
  </w:style>
  <w:style w:type="paragraph" w:customStyle="1" w:styleId="BodyTextRight">
    <w:name w:val="Body Text Right"/>
    <w:basedOn w:val="BodyText"/>
    <w:rsid w:val="002D6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5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5E8"/>
    <w:rPr>
      <w:sz w:val="32"/>
    </w:rPr>
  </w:style>
  <w:style w:type="paragraph" w:customStyle="1" w:styleId="HeadingProcedure">
    <w:name w:val="Heading Procedure"/>
    <w:basedOn w:val="HeadingBase"/>
    <w:next w:val="Normal"/>
    <w:rsid w:val="002D6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5E8"/>
    <w:pPr>
      <w:spacing w:before="60" w:after="60"/>
    </w:pPr>
  </w:style>
  <w:style w:type="paragraph" w:styleId="ListContinue">
    <w:name w:val="List Continue"/>
    <w:basedOn w:val="List"/>
    <w:rsid w:val="002D65E8"/>
    <w:pPr>
      <w:ind w:firstLine="0"/>
    </w:pPr>
  </w:style>
  <w:style w:type="paragraph" w:customStyle="1" w:styleId="ListNote">
    <w:name w:val="List Note"/>
    <w:basedOn w:val="List"/>
    <w:rsid w:val="002D6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5E8"/>
    <w:rPr>
      <w:rFonts w:ascii="Courier New" w:hAnsi="Courier New"/>
    </w:rPr>
  </w:style>
  <w:style w:type="paragraph" w:customStyle="1" w:styleId="NoteBullet">
    <w:name w:val="Note Bullet"/>
    <w:basedOn w:val="Note"/>
    <w:rsid w:val="002D6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5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6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5E8"/>
    <w:rPr>
      <w:b/>
      <w:smallCaps/>
    </w:rPr>
  </w:style>
  <w:style w:type="paragraph" w:customStyle="1" w:styleId="TableListNumber">
    <w:name w:val="Table List Number"/>
    <w:basedOn w:val="ListNumber"/>
    <w:rsid w:val="002D6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5E8"/>
    <w:pPr>
      <w:numPr>
        <w:numId w:val="10"/>
      </w:numPr>
    </w:pPr>
  </w:style>
  <w:style w:type="paragraph" w:customStyle="1" w:styleId="ListAlpha2">
    <w:name w:val="List Alpha 2"/>
    <w:basedOn w:val="List2"/>
    <w:rsid w:val="002D65E8"/>
    <w:pPr>
      <w:numPr>
        <w:numId w:val="9"/>
      </w:numPr>
    </w:pPr>
  </w:style>
  <w:style w:type="paragraph" w:styleId="List2">
    <w:name w:val="List 2"/>
    <w:basedOn w:val="BodyText"/>
    <w:rsid w:val="002D6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5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65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65E8"/>
    <w:pPr>
      <w:numPr>
        <w:numId w:val="5"/>
      </w:numPr>
    </w:pPr>
  </w:style>
  <w:style w:type="paragraph" w:styleId="ListContinue2">
    <w:name w:val="List Continue 2"/>
    <w:basedOn w:val="List2"/>
    <w:rsid w:val="002D65E8"/>
    <w:pPr>
      <w:ind w:firstLine="0"/>
    </w:pPr>
  </w:style>
  <w:style w:type="paragraph" w:styleId="ListContinue3">
    <w:name w:val="List Continue 3"/>
    <w:basedOn w:val="List3"/>
    <w:rsid w:val="002D65E8"/>
    <w:pPr>
      <w:ind w:left="1021" w:firstLine="0"/>
    </w:pPr>
  </w:style>
  <w:style w:type="paragraph" w:styleId="ListContinue4">
    <w:name w:val="List Continue 4"/>
    <w:basedOn w:val="List4"/>
    <w:rsid w:val="002D65E8"/>
    <w:pPr>
      <w:ind w:firstLine="0"/>
    </w:pPr>
  </w:style>
  <w:style w:type="paragraph" w:styleId="ListContinue5">
    <w:name w:val="List Continue 5"/>
    <w:basedOn w:val="List5"/>
    <w:rsid w:val="002D65E8"/>
    <w:pPr>
      <w:ind w:firstLine="0"/>
    </w:pPr>
  </w:style>
  <w:style w:type="paragraph" w:styleId="ListNumber3">
    <w:name w:val="List Number 3"/>
    <w:basedOn w:val="List3"/>
    <w:rsid w:val="002D65E8"/>
    <w:pPr>
      <w:numPr>
        <w:numId w:val="6"/>
      </w:numPr>
    </w:pPr>
  </w:style>
  <w:style w:type="paragraph" w:styleId="ListNumber4">
    <w:name w:val="List Number 4"/>
    <w:basedOn w:val="List4"/>
    <w:rsid w:val="002D65E8"/>
    <w:pPr>
      <w:numPr>
        <w:numId w:val="7"/>
      </w:numPr>
    </w:pPr>
  </w:style>
  <w:style w:type="paragraph" w:styleId="ListNumber5">
    <w:name w:val="List Number 5"/>
    <w:basedOn w:val="List5"/>
    <w:rsid w:val="002D65E8"/>
    <w:pPr>
      <w:numPr>
        <w:numId w:val="8"/>
      </w:numPr>
    </w:pPr>
  </w:style>
  <w:style w:type="paragraph" w:styleId="BlockText">
    <w:name w:val="Block Text"/>
    <w:basedOn w:val="Normal"/>
    <w:rsid w:val="002D6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5E8"/>
    <w:rPr>
      <w:sz w:val="16"/>
      <w:vertAlign w:val="superscript"/>
    </w:rPr>
  </w:style>
  <w:style w:type="character" w:customStyle="1" w:styleId="Symbols">
    <w:name w:val="Symbols"/>
    <w:basedOn w:val="DefaultParagraphFont"/>
    <w:rsid w:val="002D65E8"/>
    <w:rPr>
      <w:rFonts w:ascii="Symbol" w:hAnsi="Symbol"/>
    </w:rPr>
  </w:style>
  <w:style w:type="character" w:customStyle="1" w:styleId="MenuOptions">
    <w:name w:val="Menu Options"/>
    <w:basedOn w:val="DefaultParagraphFont"/>
    <w:rsid w:val="002D6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5E8"/>
    <w:rPr>
      <w:b/>
    </w:rPr>
  </w:style>
  <w:style w:type="character" w:customStyle="1" w:styleId="Underlined">
    <w:name w:val="Underlined"/>
    <w:basedOn w:val="DefaultParagraphFont"/>
    <w:rsid w:val="002D65E8"/>
    <w:rPr>
      <w:u w:val="single"/>
    </w:rPr>
  </w:style>
  <w:style w:type="paragraph" w:customStyle="1" w:styleId="TableBodyTextRight">
    <w:name w:val="Table Body Text Right"/>
    <w:basedOn w:val="TableBodyText"/>
    <w:rsid w:val="002D6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5E8"/>
    <w:rPr>
      <w:sz w:val="18"/>
    </w:rPr>
  </w:style>
  <w:style w:type="paragraph" w:customStyle="1" w:styleId="BodySmallRight">
    <w:name w:val="Body Small Right"/>
    <w:basedOn w:val="BodyTextRight"/>
    <w:rsid w:val="002D65E8"/>
    <w:rPr>
      <w:sz w:val="18"/>
      <w:szCs w:val="18"/>
    </w:rPr>
  </w:style>
  <w:style w:type="paragraph" w:customStyle="1" w:styleId="MarginEdition">
    <w:name w:val="Margin Edition"/>
    <w:basedOn w:val="MarginNote"/>
    <w:rsid w:val="002D6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5E8"/>
    <w:rPr>
      <w:sz w:val="2"/>
      <w:szCs w:val="2"/>
    </w:rPr>
  </w:style>
  <w:style w:type="character" w:customStyle="1" w:styleId="Small">
    <w:name w:val="Small"/>
    <w:basedOn w:val="DefaultParagraphFont"/>
    <w:rsid w:val="002D65E8"/>
    <w:rPr>
      <w:sz w:val="16"/>
    </w:rPr>
  </w:style>
  <w:style w:type="paragraph" w:customStyle="1" w:styleId="WideTable">
    <w:name w:val="Wide Table"/>
    <w:basedOn w:val="Normal"/>
    <w:rsid w:val="002D6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5E8"/>
  </w:style>
  <w:style w:type="paragraph" w:styleId="Quote">
    <w:name w:val="Quote"/>
    <w:basedOn w:val="Heading1"/>
    <w:link w:val="QuoteChar"/>
    <w:qFormat/>
    <w:rsid w:val="002D6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5E8"/>
    <w:pPr>
      <w:pageBreakBefore/>
    </w:pPr>
  </w:style>
  <w:style w:type="paragraph" w:customStyle="1" w:styleId="Border">
    <w:name w:val="Border"/>
    <w:basedOn w:val="Normal"/>
    <w:qFormat/>
    <w:rsid w:val="002D6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5E8"/>
    <w:rPr>
      <w:u w:val="single"/>
    </w:rPr>
  </w:style>
  <w:style w:type="character" w:customStyle="1" w:styleId="BoldandItalics">
    <w:name w:val="Bold and Italics"/>
    <w:qFormat/>
    <w:rsid w:val="002D65E8"/>
    <w:rPr>
      <w:b/>
      <w:i/>
      <w:u w:val="none"/>
    </w:rPr>
  </w:style>
  <w:style w:type="paragraph" w:styleId="BalloonText">
    <w:name w:val="Balloon Text"/>
    <w:basedOn w:val="Normal"/>
    <w:link w:val="BalloonTextChar"/>
    <w:rsid w:val="002D6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5E8"/>
    <w:pPr>
      <w:spacing w:before="0" w:after="0"/>
    </w:pPr>
  </w:style>
  <w:style w:type="paragraph" w:customStyle="1" w:styleId="BodyTextBold">
    <w:name w:val="Body Text Bold"/>
    <w:basedOn w:val="BodyText"/>
    <w:qFormat/>
    <w:rsid w:val="002D65E8"/>
    <w:rPr>
      <w:b/>
    </w:rPr>
  </w:style>
  <w:style w:type="character" w:styleId="Hyperlink">
    <w:name w:val="Hyperlink"/>
    <w:basedOn w:val="DefaultParagraphFont"/>
    <w:uiPriority w:val="99"/>
    <w:unhideWhenUsed/>
    <w:rsid w:val="001E5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3677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MSL973027 Perform techniques that prevent cross-contamination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