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6B2" w:rsidP="00314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MSL973026 Prepare working solutions</w:t>
      </w:r>
      <w:r>
        <w:fldChar w:fldCharType="end"/>
      </w:r>
    </w:p>
    <w:p w:rsidR="003146B2" w:rsidP="003146B2">
      <w:pPr>
        <w:pStyle w:val="Version"/>
        <w:sectPr w:rsidSect="00FA6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159" w:rsidP="00FA6159">
      <w:pPr>
        <w:pStyle w:val="SuperHeading"/>
      </w:pPr>
      <w:r w:rsidRPr="00FA6159">
        <w:t>MSL973026 Prepare working solutions</w:t>
      </w:r>
    </w:p>
    <w:p w:rsidR="00000000" w:rsidRPr="00FA6159" w:rsidP="00FA6159">
      <w:pPr>
        <w:pStyle w:val="Heading1"/>
      </w:pPr>
      <w:bookmarkStart w:id="1" w:name="O_1258217"/>
      <w:bookmarkEnd w:id="1"/>
      <w:r w:rsidRPr="00FA6159">
        <w:t>Modification History</w:t>
      </w:r>
    </w:p>
    <w:p w:rsidR="003146B2" w:rsidP="003146B2">
      <w:pPr>
        <w:pStyle w:val="BodyText"/>
      </w:pPr>
      <w:r w:rsidRPr="00FA6159">
        <w:t>Release 1. Supersedes and equivalent to MSL973014 Prepare working solutions. Very minor changes to Performance Criteria. Clarification provided in Performance Evidence about what constitutes a different solution. Changes to Knowledge E</w:t>
      </w:r>
      <w:r w:rsidRPr="00FA6159">
        <w:t>vidence for clarity and to provide information about required scope and depth of knowledge required.</w:t>
      </w:r>
    </w:p>
    <w:p w:rsidR="00000000" w:rsidRPr="00FA6159" w:rsidP="00FA6159">
      <w:pPr>
        <w:pStyle w:val="Heading1"/>
      </w:pPr>
      <w:bookmarkStart w:id="2" w:name="O_1258218"/>
      <w:bookmarkEnd w:id="2"/>
      <w:r w:rsidRPr="00FA6159">
        <w:t>Application</w:t>
      </w:r>
    </w:p>
    <w:p w:rsidR="00000000" w:rsidRPr="00FA6159" w:rsidP="003146B2">
      <w:pPr>
        <w:pStyle w:val="BodyText"/>
      </w:pPr>
      <w:r w:rsidRPr="00FA6159">
        <w:t xml:space="preserve">This unit of competency describes the skills and knowledge to prepare working solutions and to check that existing stocks </w:t>
      </w:r>
      <w:r w:rsidRPr="00FA6159">
        <w:t>of solutions are suitable for use. Working solutions include those required to perform laboratory tests. Personnel are required to calculate quantities and make dilutions.</w:t>
      </w:r>
    </w:p>
    <w:p w:rsidR="00000000" w:rsidRPr="00FA6159" w:rsidP="003146B2">
      <w:pPr>
        <w:pStyle w:val="BodyText"/>
      </w:pPr>
      <w:r w:rsidRPr="00FA6159">
        <w:t>This unit of competency applies to laboratory assistants working in all industry sec</w:t>
      </w:r>
      <w:r w:rsidRPr="00FA6159">
        <w:t xml:space="preserve">tors. </w:t>
      </w:r>
    </w:p>
    <w:p w:rsidR="003146B2" w:rsidP="003146B2">
      <w:pPr>
        <w:pStyle w:val="BodyText"/>
      </w:pPr>
      <w:r w:rsidRPr="00FA6159">
        <w:t>No licensing or certification requirements exist at the time of publication. However, regulations and/or external accreditation requirements for laboratory operations exist, so local requirements should be checked. Relevant legislation, industry sta</w:t>
      </w:r>
      <w:r w:rsidRPr="00FA6159">
        <w:t>ndards and codes of practice within Australia must also be applied.</w:t>
      </w:r>
    </w:p>
    <w:p w:rsidR="00000000" w:rsidRPr="00FA6159" w:rsidP="00FA6159">
      <w:pPr>
        <w:pStyle w:val="Heading1"/>
      </w:pPr>
      <w:bookmarkStart w:id="3" w:name="O_1258220"/>
      <w:bookmarkEnd w:id="3"/>
      <w:r w:rsidRPr="00FA6159">
        <w:t>Competency Field</w:t>
      </w:r>
    </w:p>
    <w:p w:rsidR="00000000" w:rsidRPr="00FA6159" w:rsidP="003146B2">
      <w:pPr>
        <w:pStyle w:val="BodyText"/>
      </w:pPr>
      <w:r w:rsidRPr="00FA6159">
        <w:t>Testing</w:t>
      </w:r>
    </w:p>
    <w:p w:rsidR="00000000" w:rsidRPr="00FA6159" w:rsidP="00FA6159">
      <w:pPr>
        <w:pStyle w:val="Heading1"/>
      </w:pPr>
      <w:bookmarkStart w:id="4" w:name="O_1258222"/>
      <w:bookmarkEnd w:id="4"/>
      <w:r w:rsidRPr="00FA615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14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159" w:rsidP="00FA6159">
            <w:pPr>
              <w:pStyle w:val="BodyText"/>
            </w:pPr>
            <w:r w:rsidRPr="00FA615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rPr>
                <w:rStyle w:val="SpecialBold"/>
              </w:rPr>
              <w:t>Performance Criteria</w:t>
            </w:r>
          </w:p>
        </w:tc>
      </w:tr>
      <w:tr w:rsidTr="00314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t>Performance crite</w:t>
            </w:r>
            <w:r w:rsidRPr="00FA6159">
              <w:t>ria describe the performance needed to demonstrate achievement of the element.</w:t>
            </w:r>
          </w:p>
        </w:tc>
      </w:tr>
      <w:tr w:rsidTr="00314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t>1. Make up working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159" w:rsidP="00FA6159">
            <w:pPr>
              <w:pStyle w:val="BodyText"/>
            </w:pPr>
            <w:r w:rsidRPr="00FA6159">
              <w:t>1.1 Identify the relevant standard methods for solution preparation</w:t>
            </w:r>
          </w:p>
          <w:p w:rsidR="00000000" w:rsidRPr="00FA6159" w:rsidP="00FA6159">
            <w:pPr>
              <w:pStyle w:val="BodyText"/>
            </w:pPr>
            <w:r w:rsidRPr="00FA6159">
              <w:t xml:space="preserve">1.2 Assemble specified laboratory equipment </w:t>
            </w:r>
          </w:p>
          <w:p w:rsidR="00000000" w:rsidRPr="00FA6159" w:rsidP="00FA6159">
            <w:pPr>
              <w:pStyle w:val="BodyText"/>
            </w:pPr>
            <w:r w:rsidRPr="00FA6159">
              <w:t>1.3 Select and prepare materials and solvent of specified purity</w:t>
            </w:r>
          </w:p>
          <w:p w:rsidR="00000000" w:rsidRPr="00FA6159" w:rsidP="00FA6159">
            <w:pPr>
              <w:pStyle w:val="BodyText"/>
            </w:pPr>
            <w:r w:rsidRPr="00FA6159">
              <w:t>1.4 Measure appropriate quantities of reagents for solution preparation and record data</w:t>
            </w:r>
          </w:p>
          <w:p w:rsidR="00000000" w:rsidRPr="00FA6159" w:rsidP="00FA6159">
            <w:pPr>
              <w:pStyle w:val="BodyText"/>
            </w:pPr>
            <w:r w:rsidRPr="00FA6159">
              <w:t>1.5 Prepare labels and log solution details in accordance with workplace procedures</w:t>
            </w:r>
          </w:p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t>1.6 Transfer soluti</w:t>
            </w:r>
            <w:r w:rsidRPr="00FA6159">
              <w:t>ons to appropriately labelled containers</w:t>
            </w:r>
          </w:p>
        </w:tc>
      </w:tr>
      <w:tr w:rsidTr="00314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t>2. Check existing stock of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159" w:rsidP="00FA6159">
            <w:pPr>
              <w:pStyle w:val="BodyText"/>
            </w:pPr>
            <w:r w:rsidRPr="00FA6159">
              <w:t>2.1 Monitor shelf life of working solutions and identify those that are unfit for use in accordance with workplace procedures</w:t>
            </w:r>
          </w:p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t>2.2 Replace out-of-date or reject solutions in acco</w:t>
            </w:r>
            <w:r w:rsidRPr="00FA6159">
              <w:t>rdance with workplace procedures</w:t>
            </w:r>
          </w:p>
        </w:tc>
      </w:tr>
      <w:tr w:rsidTr="00314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59">
            <w:pPr>
              <w:pStyle w:val="BodyText"/>
              <w:rPr>
                <w:lang w:val="en-NZ"/>
              </w:rPr>
            </w:pPr>
            <w:r w:rsidRPr="00FA6159">
              <w:t>3.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159" w:rsidP="00FA6159">
            <w:pPr>
              <w:pStyle w:val="BodyText"/>
            </w:pPr>
            <w:r w:rsidRPr="00FA6159">
              <w:t>3.1 Use appropriate safety procedures and personal protective equipment (PPE) to ensure personal safety and that of other laboratory personnel</w:t>
            </w:r>
          </w:p>
          <w:p w:rsidR="00000000" w:rsidRPr="00FA6159" w:rsidP="00FA6159">
            <w:pPr>
              <w:pStyle w:val="BodyText"/>
            </w:pPr>
            <w:r w:rsidRPr="00FA6159">
              <w:t>3.2 Store reagents and clean and store glas</w:t>
            </w:r>
            <w:r w:rsidRPr="00FA6159">
              <w:t>sware and equipment in accordance with workplace procedures</w:t>
            </w:r>
          </w:p>
          <w:p w:rsidR="00000000" w:rsidRPr="00FA6159" w:rsidP="00FA6159">
            <w:pPr>
              <w:pStyle w:val="BodyText"/>
            </w:pPr>
            <w:r w:rsidRPr="00FA6159">
              <w:t>3.3 Minimise generation of waste and environmental impacts</w:t>
            </w:r>
          </w:p>
          <w:p w:rsidR="00000000" w:rsidRPr="00FA6159" w:rsidP="00FA6159">
            <w:pPr>
              <w:pStyle w:val="BodyText"/>
            </w:pPr>
            <w:r w:rsidRPr="00FA6159">
              <w:t>3.4 Clean up spills using appropriate techniques</w:t>
            </w:r>
          </w:p>
          <w:p w:rsidR="00000000" w:rsidRPr="00FA6159" w:rsidP="00FA6159">
            <w:pPr>
              <w:pStyle w:val="BodyText"/>
            </w:pPr>
            <w:r w:rsidRPr="00FA6159">
              <w:t>3.5 Ensure the safe collection of laboratory and hazardous waste for subsequent disposal</w:t>
            </w:r>
          </w:p>
        </w:tc>
      </w:tr>
    </w:tbl>
    <w:p w:rsidR="003146B2" w:rsidP="00FA6159">
      <w:pPr>
        <w:pStyle w:val="BodyText"/>
      </w:pPr>
    </w:p>
    <w:p w:rsidR="003146B2" w:rsidP="00FA6159">
      <w:pPr>
        <w:pStyle w:val="BodyText"/>
      </w:pPr>
    </w:p>
    <w:p w:rsidR="00000000" w:rsidRPr="00FA6159" w:rsidP="00FA6159">
      <w:pPr>
        <w:pStyle w:val="Heading1"/>
      </w:pPr>
      <w:bookmarkStart w:id="5" w:name="O_1258223"/>
      <w:bookmarkEnd w:id="5"/>
      <w:r w:rsidRPr="00FA6159">
        <w:t>Foundation Skills</w:t>
      </w:r>
    </w:p>
    <w:p w:rsidR="00000000" w:rsidRPr="00FA6159" w:rsidP="003146B2">
      <w:pPr>
        <w:pStyle w:val="BodyText"/>
      </w:pPr>
      <w:r w:rsidRPr="00FA6159">
        <w:t>This section describes those language, literacy, numeracy and employment skills that are essential to performance.</w:t>
      </w:r>
    </w:p>
    <w:p w:rsidR="003146B2" w:rsidP="003146B2">
      <w:pPr>
        <w:pStyle w:val="BodyText"/>
      </w:pPr>
      <w:r w:rsidRPr="00FA6159">
        <w:t xml:space="preserve">Foundation skills essential to performance are explicit in the performance criteria of this unit of </w:t>
      </w:r>
      <w:r w:rsidRPr="00FA6159">
        <w:t>competency.</w:t>
      </w:r>
    </w:p>
    <w:p w:rsidR="00000000" w:rsidRPr="00FA6159" w:rsidP="00FA6159">
      <w:pPr>
        <w:pStyle w:val="Heading1"/>
      </w:pPr>
      <w:bookmarkStart w:id="6" w:name="O_1258225"/>
      <w:bookmarkEnd w:id="6"/>
      <w:r w:rsidRPr="00FA6159">
        <w:t>Unit Mapping Information</w:t>
      </w:r>
    </w:p>
    <w:p w:rsidR="003146B2" w:rsidP="003146B2">
      <w:pPr>
        <w:pStyle w:val="BodyText"/>
      </w:pPr>
      <w:r w:rsidRPr="00FA6159">
        <w:t>Supersedes and is equivalent to MSL9730014 Prepare working solutions</w:t>
      </w:r>
    </w:p>
    <w:p w:rsidR="00000000" w:rsidRPr="00FA6159" w:rsidP="00FA6159">
      <w:pPr>
        <w:pStyle w:val="Heading1"/>
      </w:pPr>
      <w:bookmarkStart w:id="7" w:name="O_1258232"/>
      <w:bookmarkEnd w:id="7"/>
      <w:r w:rsidRPr="00FA6159">
        <w:t>Links</w:t>
      </w:r>
    </w:p>
    <w:p w:rsidR="00000000" w:rsidRPr="00FA6159" w:rsidP="003146B2">
      <w:pPr>
        <w:pStyle w:val="BodyText"/>
      </w:pPr>
      <w:r w:rsidRPr="00FA6159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8331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A6159" w:rsidP="003146B2">
      <w:pPr>
        <w:pStyle w:val="BodyText"/>
        <w:sectPr w:rsidSect="00FA61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6159" w:rsidP="00FA6159">
      <w:pPr>
        <w:pStyle w:val="SuperHeading"/>
      </w:pPr>
      <w:r w:rsidRPr="00FA6159">
        <w:t>Assessment Requirements for MSL973026 Prepare working solutions</w:t>
      </w:r>
    </w:p>
    <w:p w:rsidR="00000000" w:rsidRPr="00FA6159" w:rsidP="00FA6159">
      <w:pPr>
        <w:pStyle w:val="Heading1"/>
      </w:pPr>
      <w:bookmarkStart w:id="8" w:name="O_1258227"/>
      <w:bookmarkEnd w:id="8"/>
      <w:r w:rsidRPr="00FA6159">
        <w:t>Modification History</w:t>
      </w:r>
    </w:p>
    <w:p w:rsidR="003146B2" w:rsidP="003146B2">
      <w:pPr>
        <w:pStyle w:val="BodyText"/>
      </w:pPr>
      <w:r w:rsidRPr="00FA6159">
        <w:t>Release 1. Supersedes and equivalent to MSL973014 Prepare working solutions. Very minor changes to Performance Criteria. Clarification provided in Performance Evidence about what constitutes a different solution. Changes to Knowledge Evidence for clarity a</w:t>
      </w:r>
      <w:r w:rsidRPr="00FA6159">
        <w:t>nd to provide information about required scope and depth of knowledge required.</w:t>
      </w:r>
    </w:p>
    <w:p w:rsidR="00000000" w:rsidRPr="00FA6159" w:rsidP="00FA6159">
      <w:pPr>
        <w:pStyle w:val="Heading1"/>
      </w:pPr>
      <w:bookmarkStart w:id="9" w:name="O_1258228"/>
      <w:bookmarkEnd w:id="9"/>
      <w:r w:rsidRPr="00FA6159">
        <w:t>Performance Evidence</w:t>
      </w:r>
    </w:p>
    <w:p w:rsidR="00000000" w:rsidRPr="00FA6159" w:rsidP="003146B2">
      <w:pPr>
        <w:pStyle w:val="BodyText"/>
      </w:pPr>
      <w:r w:rsidRPr="00FA6159">
        <w:t>There must be evidence the candidate has completed the tasks outlined in the elements and performance criteria of this unit, and:</w:t>
      </w:r>
    </w:p>
    <w:p w:rsidR="00000000" w:rsidRPr="00FA6159" w:rsidP="00FA6159">
      <w:pPr>
        <w:pStyle w:val="ListBullet"/>
      </w:pPr>
      <w:r w:rsidRPr="00FA6159">
        <w:t>safe</w:t>
      </w:r>
      <w:r w:rsidRPr="00FA6159">
        <w:t>ly prepared at least 5 different correctly labelled working solutions, including calculation of the quantities involved and any dilutions required (note: the 5 different solutions may be different because of substance, concentration or method of preparatio</w:t>
      </w:r>
      <w:r w:rsidRPr="00FA6159">
        <w:t>n)</w:t>
      </w:r>
    </w:p>
    <w:p w:rsidR="003146B2" w:rsidP="00FA6159">
      <w:pPr>
        <w:pStyle w:val="ListBullet"/>
      </w:pPr>
      <w:r w:rsidRPr="00FA6159">
        <w:t>checked existing stocks of working solutions and identified those unfit for use.</w:t>
      </w:r>
    </w:p>
    <w:p w:rsidR="003146B2" w:rsidP="00FA6159">
      <w:pPr>
        <w:pStyle w:val="ListBullet"/>
      </w:pPr>
    </w:p>
    <w:p w:rsidR="00000000" w:rsidRPr="00FA6159" w:rsidP="00FA6159">
      <w:pPr>
        <w:pStyle w:val="Heading1"/>
      </w:pPr>
      <w:bookmarkStart w:id="10" w:name="O_1258229"/>
      <w:bookmarkEnd w:id="10"/>
      <w:r w:rsidRPr="00FA6159">
        <w:t>Knowledge Evidence</w:t>
      </w:r>
    </w:p>
    <w:p w:rsidR="00000000" w:rsidRPr="00FA6159" w:rsidP="003146B2">
      <w:pPr>
        <w:pStyle w:val="BodyText"/>
      </w:pPr>
      <w:r w:rsidRPr="00FA6159">
        <w:t>There must be evidence the candidate has knowledge of:</w:t>
      </w:r>
    </w:p>
    <w:p w:rsidR="00000000" w:rsidRPr="00FA6159" w:rsidP="00FA6159">
      <w:pPr>
        <w:pStyle w:val="ListBullet"/>
      </w:pPr>
      <w:r w:rsidRPr="00FA6159">
        <w:t xml:space="preserve">basic measurement concepts, including repeatability, precision, accuracy and </w:t>
      </w:r>
      <w:r w:rsidRPr="00FA6159">
        <w:t>significant figures</w:t>
      </w:r>
    </w:p>
    <w:p w:rsidR="00000000" w:rsidRPr="00FA6159" w:rsidP="00FA6159">
      <w:pPr>
        <w:pStyle w:val="ListBullet"/>
      </w:pPr>
      <w:r w:rsidRPr="00FA6159">
        <w:t>working solutions prepared in the job role, including:</w:t>
      </w:r>
    </w:p>
    <w:p w:rsidR="00000000" w:rsidRPr="00FA6159" w:rsidP="00FA6159">
      <w:pPr>
        <w:pStyle w:val="ListBullet2"/>
      </w:pPr>
      <w:r w:rsidRPr="00FA6159">
        <w:t>purpose</w:t>
      </w:r>
    </w:p>
    <w:p w:rsidR="00000000" w:rsidRPr="00FA6159" w:rsidP="00FA6159">
      <w:pPr>
        <w:pStyle w:val="ListBullet2"/>
      </w:pPr>
      <w:r w:rsidRPr="00FA6159">
        <w:t>common names</w:t>
      </w:r>
    </w:p>
    <w:p w:rsidR="00000000" w:rsidRPr="00FA6159" w:rsidP="00FA6159">
      <w:pPr>
        <w:pStyle w:val="ListBullet2"/>
      </w:pPr>
      <w:r w:rsidRPr="00FA6159">
        <w:t>chemical formulae</w:t>
      </w:r>
    </w:p>
    <w:p w:rsidR="00000000" w:rsidRPr="00FA6159" w:rsidP="00FA6159">
      <w:pPr>
        <w:pStyle w:val="ListBullet2"/>
      </w:pPr>
      <w:r w:rsidRPr="00FA6159">
        <w:t>preparation procedures</w:t>
      </w:r>
    </w:p>
    <w:p w:rsidR="00000000" w:rsidRPr="00FA6159" w:rsidP="00FA6159">
      <w:pPr>
        <w:pStyle w:val="ListBullet"/>
      </w:pPr>
      <w:r w:rsidRPr="00FA6159">
        <w:t>international system of units (SI)</w:t>
      </w:r>
    </w:p>
    <w:p w:rsidR="00000000" w:rsidRPr="00FA6159" w:rsidP="00FA6159">
      <w:pPr>
        <w:pStyle w:val="ListBullet"/>
      </w:pPr>
      <w:r w:rsidRPr="00FA6159">
        <w:t>concentration terms, including % w/w, % w/v, % v/v, ppm (mg/L) and molarity</w:t>
      </w:r>
    </w:p>
    <w:p w:rsidR="00000000" w:rsidRPr="00FA6159" w:rsidP="00FA6159">
      <w:pPr>
        <w:pStyle w:val="ListBullet"/>
      </w:pPr>
      <w:r w:rsidRPr="00FA6159">
        <w:t>basic features of acids, bases, salts, buffers and neutralisation</w:t>
      </w:r>
    </w:p>
    <w:p w:rsidR="00000000" w:rsidRPr="00FA6159" w:rsidP="00FA6159">
      <w:pPr>
        <w:pStyle w:val="ListBullet"/>
      </w:pPr>
      <w:r w:rsidRPr="00FA6159">
        <w:t>what affects solubility</w:t>
      </w:r>
    </w:p>
    <w:p w:rsidR="00000000" w:rsidRPr="00FA6159" w:rsidP="00FA6159">
      <w:pPr>
        <w:pStyle w:val="ListBullet"/>
      </w:pPr>
      <w:r w:rsidRPr="00FA6159">
        <w:t>difference between aqueous and organic solutions</w:t>
      </w:r>
    </w:p>
    <w:p w:rsidR="00000000" w:rsidRPr="00FA6159" w:rsidP="00FA6159">
      <w:pPr>
        <w:pStyle w:val="ListBullet"/>
      </w:pPr>
      <w:r w:rsidRPr="00FA6159">
        <w:t>basic aspects of the periodic table, including:</w:t>
      </w:r>
    </w:p>
    <w:p w:rsidR="00000000" w:rsidRPr="00FA6159" w:rsidP="00FA6159">
      <w:pPr>
        <w:pStyle w:val="ListBullet2"/>
      </w:pPr>
      <w:r w:rsidRPr="00FA6159">
        <w:t>what it is</w:t>
      </w:r>
    </w:p>
    <w:p w:rsidR="00000000" w:rsidRPr="00FA6159" w:rsidP="00FA6159">
      <w:pPr>
        <w:pStyle w:val="ListBullet2"/>
      </w:pPr>
      <w:r w:rsidRPr="00FA6159">
        <w:t xml:space="preserve">what information it can provide and how that information </w:t>
      </w:r>
      <w:r w:rsidRPr="00FA6159">
        <w:t>can be used</w:t>
      </w:r>
    </w:p>
    <w:p w:rsidR="00000000" w:rsidRPr="00FA6159" w:rsidP="00FA6159">
      <w:pPr>
        <w:pStyle w:val="ListBullet2"/>
      </w:pPr>
      <w:r w:rsidRPr="00FA6159">
        <w:t>symbol system</w:t>
      </w:r>
    </w:p>
    <w:p w:rsidR="00000000" w:rsidRPr="00FA6159" w:rsidP="00FA6159">
      <w:pPr>
        <w:pStyle w:val="ListBullet2"/>
      </w:pPr>
      <w:r w:rsidRPr="00FA6159">
        <w:t xml:space="preserve">difference between elements and compounds </w:t>
      </w:r>
    </w:p>
    <w:p w:rsidR="00000000" w:rsidRPr="00FA6159" w:rsidP="00FA6159">
      <w:pPr>
        <w:pStyle w:val="ListBullet"/>
      </w:pPr>
      <w:r w:rsidRPr="00FA6159">
        <w:t>calculations required to prepare specified amounts of solutions of specified concentration</w:t>
      </w:r>
    </w:p>
    <w:p w:rsidR="00000000" w:rsidRPr="00FA6159" w:rsidP="00FA6159">
      <w:pPr>
        <w:pStyle w:val="ListBullet"/>
      </w:pPr>
      <w:r w:rsidRPr="00FA6159">
        <w:t>use of safety data sheets (SDS) and workplace procedures for preparing, handling and disposing of solutions and cleaning up spillages</w:t>
      </w:r>
    </w:p>
    <w:p w:rsidR="00000000" w:rsidRPr="00FA6159" w:rsidP="00FA6159">
      <w:pPr>
        <w:pStyle w:val="ListBullet"/>
      </w:pPr>
      <w:r w:rsidRPr="00FA6159">
        <w:t>environmental sustainability issues as they relate to the work task</w:t>
      </w:r>
    </w:p>
    <w:p w:rsidR="003146B2" w:rsidP="00FA6159">
      <w:pPr>
        <w:pStyle w:val="ListBullet"/>
      </w:pPr>
      <w:r w:rsidRPr="00FA6159">
        <w:t>legal, ethical and work health and safety (WHS) requir</w:t>
      </w:r>
      <w:r w:rsidRPr="00FA6159">
        <w:t xml:space="preserve">ements specific to the work task. </w:t>
      </w:r>
    </w:p>
    <w:p w:rsidR="003146B2" w:rsidP="00FA6159">
      <w:pPr>
        <w:pStyle w:val="ListBullet"/>
      </w:pPr>
    </w:p>
    <w:p w:rsidR="00000000" w:rsidRPr="00FA6159" w:rsidP="00FA6159">
      <w:pPr>
        <w:pStyle w:val="Heading1"/>
      </w:pPr>
      <w:bookmarkStart w:id="11" w:name="O_1258230"/>
      <w:bookmarkEnd w:id="11"/>
      <w:r w:rsidRPr="00FA6159">
        <w:t>Assessment Conditions</w:t>
      </w:r>
    </w:p>
    <w:p w:rsidR="00000000" w:rsidRPr="00FA6159" w:rsidP="003146B2">
      <w:pPr>
        <w:pStyle w:val="BodyText"/>
      </w:pPr>
      <w:r w:rsidRPr="00FA6159">
        <w:t>Skills must have been demonstrated in the workplace or in a simulated environment that reflects workplace conditions and contingencies. The following conditions must be met for th</w:t>
      </w:r>
      <w:r w:rsidRPr="00FA6159">
        <w:t xml:space="preserve">is unit: </w:t>
      </w:r>
    </w:p>
    <w:p w:rsidR="00000000" w:rsidRPr="00FA6159" w:rsidP="00FA6159">
      <w:pPr>
        <w:pStyle w:val="ListBullet"/>
      </w:pPr>
      <w:r w:rsidRPr="00FA6159">
        <w:t xml:space="preserve">use of suitable facilities, equipment and resources, including: </w:t>
      </w:r>
    </w:p>
    <w:p w:rsidR="00000000" w:rsidRPr="00FA6159" w:rsidP="00FA6159">
      <w:pPr>
        <w:pStyle w:val="ListBullet2"/>
      </w:pPr>
      <w:r w:rsidRPr="00FA6159">
        <w:t>a standard laboratory equipped with appropriate reagents and equipment</w:t>
      </w:r>
    </w:p>
    <w:p w:rsidR="00000000" w:rsidRPr="00FA6159" w:rsidP="00FA6159">
      <w:pPr>
        <w:pStyle w:val="ListBullet2"/>
      </w:pPr>
      <w:r w:rsidRPr="00FA6159">
        <w:t>containers and storage facilities</w:t>
      </w:r>
    </w:p>
    <w:p w:rsidR="00000000" w:rsidRPr="00FA6159" w:rsidP="00FA6159">
      <w:pPr>
        <w:pStyle w:val="ListBullet2"/>
      </w:pPr>
      <w:r w:rsidRPr="00FA6159">
        <w:t>workplace procedures.</w:t>
      </w:r>
    </w:p>
    <w:p w:rsidR="003146B2" w:rsidP="003146B2">
      <w:pPr>
        <w:pStyle w:val="BodyText"/>
      </w:pPr>
      <w:r w:rsidRPr="00FA6159">
        <w:br/>
      </w:r>
      <w:r w:rsidRPr="00FA6159">
        <w:t>Assessors must satisfy the NVR/AQTF mandatory competency requirements for assessors.</w:t>
      </w:r>
    </w:p>
    <w:p w:rsidR="003146B2" w:rsidP="00FA6159">
      <w:pPr>
        <w:pStyle w:val="BodyText"/>
      </w:pPr>
    </w:p>
    <w:p w:rsidR="00000000" w:rsidRPr="00FA6159" w:rsidP="00FA6159">
      <w:pPr>
        <w:pStyle w:val="Heading1"/>
      </w:pPr>
      <w:bookmarkStart w:id="12" w:name="O_1258233"/>
      <w:bookmarkEnd w:id="12"/>
      <w:r w:rsidRPr="00FA6159">
        <w:t>Links</w:t>
      </w:r>
    </w:p>
    <w:p w:rsidR="00000000" w:rsidRPr="00FA6159" w:rsidP="003146B2">
      <w:pPr>
        <w:pStyle w:val="BodyText"/>
      </w:pPr>
      <w:r w:rsidRPr="00FA6159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8331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A6159" w:rsidP="00FA6159"/>
    <w:sectPr w:rsidSect="00FA61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59" w:rsidRPr="003146B2" w:rsidP="00314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B2" w:rsidP="00FA6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6B2" w:rsidP="00FA6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46B2" w:rsidP="00FA61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59" w:rsidP="00FA6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6B2">
      <w:t>Approved</w:t>
    </w:r>
    <w:r w:rsidR="003146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6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6B2">
      <w:rPr>
        <w:noProof/>
      </w:rPr>
      <w:t>4</w:t>
    </w:r>
    <w:r>
      <w:rPr>
        <w:noProof/>
      </w:rPr>
      <w:fldChar w:fldCharType="end"/>
    </w:r>
  </w:p>
  <w:p w:rsidR="00FA6159" w:rsidP="00FA6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6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6B2">
      <w:t>Manufacturing Industry Skills Alliance</w:t>
    </w:r>
    <w:r w:rsidR="003146B2">
      <w:fldChar w:fldCharType="end"/>
    </w:r>
  </w:p>
  <w:p w:rsidR="00FA6159" w:rsidP="00FA6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159" w:rsidRPr="003146B2" w:rsidP="00314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B2" w:rsidRPr="002D2AF8" w:rsidP="00FA6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MSL973026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46B2" w:rsidP="00FA61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59" w:rsidRPr="002D2AF8" w:rsidP="00FA6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6B2">
      <w:t>MSL973026 Prepare working solutions</w:t>
    </w:r>
    <w:r w:rsidR="003146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6B2">
      <w:rPr>
        <w:noProof/>
      </w:rPr>
      <w:t>2 March 2025</w:t>
    </w:r>
    <w:r>
      <w:fldChar w:fldCharType="end"/>
    </w:r>
  </w:p>
  <w:p w:rsidR="00FA6159" w:rsidP="00FA6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805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69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2E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159"/>
  </w:style>
  <w:style w:type="character" w:customStyle="1" w:styleId="Heading1Char">
    <w:name w:val="Heading 1 Char"/>
    <w:basedOn w:val="DefaultParagraphFont"/>
    <w:link w:val="Heading1"/>
    <w:rsid w:val="00FA6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1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159"/>
    <w:rPr>
      <w:b/>
      <w:spacing w:val="0"/>
    </w:rPr>
  </w:style>
  <w:style w:type="paragraph" w:styleId="ListBullet2">
    <w:name w:val="List Bullet 2"/>
    <w:basedOn w:val="List2"/>
    <w:rsid w:val="00FA61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159"/>
    <w:rPr>
      <w:i/>
    </w:rPr>
  </w:style>
  <w:style w:type="paragraph" w:styleId="Caption">
    <w:name w:val="caption"/>
    <w:basedOn w:val="BodyText"/>
    <w:next w:val="Normal"/>
    <w:qFormat/>
    <w:rsid w:val="00FA6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159"/>
  </w:style>
  <w:style w:type="paragraph" w:styleId="TableofFigures">
    <w:name w:val="table of figures"/>
    <w:basedOn w:val="Normal"/>
    <w:next w:val="Normal"/>
    <w:semiHidden/>
    <w:rsid w:val="00FA6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1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159"/>
    <w:rPr>
      <w:rFonts w:ascii="Wingdings" w:hAnsi="Wingdings"/>
    </w:rPr>
  </w:style>
  <w:style w:type="paragraph" w:customStyle="1" w:styleId="TableHeading">
    <w:name w:val="Table Heading"/>
    <w:basedOn w:val="HeadingBase"/>
    <w:rsid w:val="00FA6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159"/>
    <w:rPr>
      <w:color w:val="0033CC"/>
      <w:u w:val="none"/>
    </w:rPr>
  </w:style>
  <w:style w:type="paragraph" w:customStyle="1" w:styleId="BodyTextRight">
    <w:name w:val="Body Text Right"/>
    <w:basedOn w:val="BodyText"/>
    <w:rsid w:val="00FA6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1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159"/>
    <w:rPr>
      <w:sz w:val="32"/>
    </w:rPr>
  </w:style>
  <w:style w:type="paragraph" w:customStyle="1" w:styleId="HeadingProcedure">
    <w:name w:val="Heading Procedure"/>
    <w:basedOn w:val="HeadingBase"/>
    <w:next w:val="Normal"/>
    <w:rsid w:val="00FA6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159"/>
    <w:pPr>
      <w:spacing w:before="60" w:after="60"/>
    </w:pPr>
  </w:style>
  <w:style w:type="paragraph" w:styleId="ListContinue">
    <w:name w:val="List Continue"/>
    <w:basedOn w:val="List"/>
    <w:rsid w:val="00FA6159"/>
    <w:pPr>
      <w:ind w:firstLine="0"/>
    </w:pPr>
  </w:style>
  <w:style w:type="paragraph" w:customStyle="1" w:styleId="ListNote">
    <w:name w:val="List Note"/>
    <w:basedOn w:val="List"/>
    <w:rsid w:val="00FA6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159"/>
    <w:rPr>
      <w:rFonts w:ascii="Courier New" w:hAnsi="Courier New"/>
    </w:rPr>
  </w:style>
  <w:style w:type="paragraph" w:customStyle="1" w:styleId="NoteBullet">
    <w:name w:val="Note Bullet"/>
    <w:basedOn w:val="Note"/>
    <w:rsid w:val="00FA6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1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159"/>
    <w:rPr>
      <w:b/>
      <w:smallCaps/>
    </w:rPr>
  </w:style>
  <w:style w:type="paragraph" w:customStyle="1" w:styleId="TableListNumber">
    <w:name w:val="Table List Number"/>
    <w:basedOn w:val="ListNumber"/>
    <w:rsid w:val="00FA6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159"/>
    <w:pPr>
      <w:numPr>
        <w:numId w:val="9"/>
      </w:numPr>
    </w:pPr>
  </w:style>
  <w:style w:type="paragraph" w:customStyle="1" w:styleId="ListAlpha2">
    <w:name w:val="List Alpha 2"/>
    <w:basedOn w:val="List2"/>
    <w:rsid w:val="00FA6159"/>
    <w:pPr>
      <w:numPr>
        <w:numId w:val="8"/>
      </w:numPr>
    </w:pPr>
  </w:style>
  <w:style w:type="paragraph" w:styleId="List2">
    <w:name w:val="List 2"/>
    <w:basedOn w:val="BodyText"/>
    <w:rsid w:val="00FA6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1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1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159"/>
    <w:pPr>
      <w:numPr>
        <w:numId w:val="4"/>
      </w:numPr>
    </w:pPr>
  </w:style>
  <w:style w:type="paragraph" w:styleId="ListContinue2">
    <w:name w:val="List Continue 2"/>
    <w:basedOn w:val="List2"/>
    <w:rsid w:val="00FA6159"/>
    <w:pPr>
      <w:ind w:firstLine="0"/>
    </w:pPr>
  </w:style>
  <w:style w:type="paragraph" w:styleId="ListContinue3">
    <w:name w:val="List Continue 3"/>
    <w:basedOn w:val="List3"/>
    <w:rsid w:val="00FA6159"/>
    <w:pPr>
      <w:ind w:left="1021" w:firstLine="0"/>
    </w:pPr>
  </w:style>
  <w:style w:type="paragraph" w:styleId="ListContinue4">
    <w:name w:val="List Continue 4"/>
    <w:basedOn w:val="List4"/>
    <w:rsid w:val="00FA6159"/>
    <w:pPr>
      <w:ind w:firstLine="0"/>
    </w:pPr>
  </w:style>
  <w:style w:type="paragraph" w:styleId="ListContinue5">
    <w:name w:val="List Continue 5"/>
    <w:basedOn w:val="List5"/>
    <w:rsid w:val="00FA6159"/>
    <w:pPr>
      <w:ind w:firstLine="0"/>
    </w:pPr>
  </w:style>
  <w:style w:type="paragraph" w:styleId="ListNumber3">
    <w:name w:val="List Number 3"/>
    <w:basedOn w:val="List3"/>
    <w:rsid w:val="00FA6159"/>
    <w:pPr>
      <w:numPr>
        <w:numId w:val="5"/>
      </w:numPr>
    </w:pPr>
  </w:style>
  <w:style w:type="paragraph" w:styleId="ListNumber4">
    <w:name w:val="List Number 4"/>
    <w:basedOn w:val="List4"/>
    <w:rsid w:val="00FA6159"/>
    <w:pPr>
      <w:numPr>
        <w:numId w:val="6"/>
      </w:numPr>
    </w:pPr>
  </w:style>
  <w:style w:type="paragraph" w:styleId="ListNumber5">
    <w:name w:val="List Number 5"/>
    <w:basedOn w:val="List5"/>
    <w:rsid w:val="00FA6159"/>
    <w:pPr>
      <w:numPr>
        <w:numId w:val="7"/>
      </w:numPr>
    </w:pPr>
  </w:style>
  <w:style w:type="paragraph" w:styleId="BlockText">
    <w:name w:val="Block Text"/>
    <w:basedOn w:val="Normal"/>
    <w:rsid w:val="00FA6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159"/>
    <w:rPr>
      <w:sz w:val="16"/>
      <w:vertAlign w:val="superscript"/>
    </w:rPr>
  </w:style>
  <w:style w:type="character" w:customStyle="1" w:styleId="Symbols">
    <w:name w:val="Symbols"/>
    <w:basedOn w:val="DefaultParagraphFont"/>
    <w:rsid w:val="00FA6159"/>
    <w:rPr>
      <w:rFonts w:ascii="Symbol" w:hAnsi="Symbol"/>
    </w:rPr>
  </w:style>
  <w:style w:type="character" w:customStyle="1" w:styleId="MenuOptions">
    <w:name w:val="Menu Options"/>
    <w:basedOn w:val="DefaultParagraphFont"/>
    <w:rsid w:val="00FA6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159"/>
    <w:rPr>
      <w:b/>
    </w:rPr>
  </w:style>
  <w:style w:type="character" w:customStyle="1" w:styleId="Underlined">
    <w:name w:val="Underlined"/>
    <w:basedOn w:val="DefaultParagraphFont"/>
    <w:rsid w:val="00FA6159"/>
    <w:rPr>
      <w:u w:val="single"/>
    </w:rPr>
  </w:style>
  <w:style w:type="paragraph" w:customStyle="1" w:styleId="TableBodyTextRight">
    <w:name w:val="Table Body Text Right"/>
    <w:basedOn w:val="TableBodyText"/>
    <w:rsid w:val="00FA6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159"/>
    <w:rPr>
      <w:sz w:val="18"/>
    </w:rPr>
  </w:style>
  <w:style w:type="paragraph" w:customStyle="1" w:styleId="BodySmallRight">
    <w:name w:val="Body Small Right"/>
    <w:basedOn w:val="BodyTextRight"/>
    <w:rsid w:val="00FA6159"/>
    <w:rPr>
      <w:sz w:val="18"/>
      <w:szCs w:val="18"/>
    </w:rPr>
  </w:style>
  <w:style w:type="paragraph" w:customStyle="1" w:styleId="MarginEdition">
    <w:name w:val="Margin Edition"/>
    <w:basedOn w:val="MarginNote"/>
    <w:rsid w:val="00FA6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159"/>
    <w:rPr>
      <w:sz w:val="2"/>
      <w:szCs w:val="2"/>
    </w:rPr>
  </w:style>
  <w:style w:type="character" w:customStyle="1" w:styleId="Small">
    <w:name w:val="Small"/>
    <w:basedOn w:val="DefaultParagraphFont"/>
    <w:rsid w:val="00FA6159"/>
    <w:rPr>
      <w:sz w:val="16"/>
    </w:rPr>
  </w:style>
  <w:style w:type="paragraph" w:customStyle="1" w:styleId="WideTable">
    <w:name w:val="Wide Table"/>
    <w:basedOn w:val="Normal"/>
    <w:rsid w:val="00FA6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159"/>
  </w:style>
  <w:style w:type="paragraph" w:styleId="Quote">
    <w:name w:val="Quote"/>
    <w:basedOn w:val="Heading1"/>
    <w:link w:val="QuoteChar"/>
    <w:qFormat/>
    <w:rsid w:val="00FA6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159"/>
    <w:pPr>
      <w:pageBreakBefore/>
    </w:pPr>
  </w:style>
  <w:style w:type="paragraph" w:customStyle="1" w:styleId="Border">
    <w:name w:val="Border"/>
    <w:basedOn w:val="Normal"/>
    <w:qFormat/>
    <w:rsid w:val="00FA6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159"/>
    <w:rPr>
      <w:u w:val="single"/>
    </w:rPr>
  </w:style>
  <w:style w:type="character" w:customStyle="1" w:styleId="BoldandItalics">
    <w:name w:val="Bold and Italics"/>
    <w:qFormat/>
    <w:rsid w:val="00FA6159"/>
    <w:rPr>
      <w:b/>
      <w:i/>
      <w:u w:val="none"/>
    </w:rPr>
  </w:style>
  <w:style w:type="paragraph" w:styleId="BalloonText">
    <w:name w:val="Balloon Text"/>
    <w:basedOn w:val="Normal"/>
    <w:link w:val="BalloonTextChar"/>
    <w:rsid w:val="00FA6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159"/>
    <w:pPr>
      <w:spacing w:before="0" w:after="0"/>
    </w:pPr>
  </w:style>
  <w:style w:type="paragraph" w:customStyle="1" w:styleId="BodyTextBold">
    <w:name w:val="Body Text Bold"/>
    <w:basedOn w:val="BodyText"/>
    <w:qFormat/>
    <w:rsid w:val="00FA6159"/>
    <w:rPr>
      <w:b/>
    </w:rPr>
  </w:style>
  <w:style w:type="character" w:styleId="Hyperlink">
    <w:name w:val="Hyperlink"/>
    <w:basedOn w:val="DefaultParagraphFont"/>
    <w:uiPriority w:val="99"/>
    <w:unhideWhenUsed/>
    <w:rsid w:val="00314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5246</Characters>
  <Application>Microsoft Office Word</Application>
  <DocSecurity>0</DocSecurity>
  <Lines>138</Lines>
  <Paragraphs>91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MSL973026 Prepare working solutions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