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6FB" w:rsidP="005436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MSL973023 Perform fire pouring techniques</w:t>
      </w:r>
      <w:r>
        <w:fldChar w:fldCharType="end"/>
      </w:r>
    </w:p>
    <w:p w:rsidR="005436FB" w:rsidP="005436FB">
      <w:pPr>
        <w:pStyle w:val="Version"/>
        <w:sectPr w:rsidSect="00E07D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7D9B" w:rsidP="00E07D9B">
      <w:pPr>
        <w:pStyle w:val="SuperHeading"/>
      </w:pPr>
      <w:r w:rsidRPr="00E07D9B">
        <w:t>Assessment Requirements for MSL973023 Perform fire pouring techniques</w:t>
      </w:r>
    </w:p>
    <w:p w:rsidR="00000000" w:rsidRPr="00E07D9B" w:rsidP="00E07D9B">
      <w:pPr>
        <w:pStyle w:val="Heading1"/>
      </w:pPr>
      <w:bookmarkStart w:id="1" w:name="O_986429"/>
      <w:bookmarkEnd w:id="1"/>
      <w:r w:rsidRPr="00E07D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E07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07D9B" w:rsidP="00E07D9B">
            <w:pPr>
              <w:pStyle w:val="BodyText"/>
            </w:pPr>
            <w:r w:rsidRPr="00E07D9B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7D9B">
            <w:pPr>
              <w:pStyle w:val="BodyText"/>
              <w:rPr>
                <w:lang w:val="en-NZ"/>
              </w:rPr>
            </w:pPr>
            <w:r w:rsidRPr="00E07D9B">
              <w:rPr>
                <w:rStyle w:val="SpecialBold"/>
              </w:rPr>
              <w:t>Comments</w:t>
            </w:r>
          </w:p>
        </w:tc>
      </w:tr>
      <w:tr w:rsidTr="00E07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D9B">
            <w:pPr>
              <w:pStyle w:val="BodyText"/>
              <w:rPr>
                <w:lang w:val="en-NZ"/>
              </w:rPr>
            </w:pPr>
            <w:r w:rsidRPr="00E07D9B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D9B" w:rsidP="00E07D9B">
            <w:pPr>
              <w:pStyle w:val="BodyText"/>
            </w:pPr>
            <w:r w:rsidRPr="00E07D9B">
              <w:t xml:space="preserve">This version was released in </w:t>
            </w:r>
            <w:r w:rsidRPr="00E07D9B">
              <w:rPr>
                <w:rStyle w:val="Emphasis"/>
              </w:rPr>
              <w:t>MSL Laboratory Operations Training Package Release 2.0.</w:t>
            </w:r>
          </w:p>
          <w:p w:rsidR="00000000" w:rsidRPr="00E07D9B" w:rsidP="00E07D9B">
            <w:pPr>
              <w:pStyle w:val="BodyText"/>
            </w:pPr>
            <w:r w:rsidRPr="00E07D9B">
              <w:t>Supersedes and equivalent to MSL973011 Perform fire pouring techniques. Foundation skill information added. Range of conditions removed. Assessment requirements amended.</w:t>
            </w:r>
          </w:p>
        </w:tc>
      </w:tr>
    </w:tbl>
    <w:p w:rsidR="00000000" w:rsidRPr="00E07D9B" w:rsidP="00E07D9B">
      <w:pPr>
        <w:pStyle w:val="BodyText"/>
      </w:pPr>
    </w:p>
    <w:p w:rsidR="00000000" w:rsidRPr="00E07D9B" w:rsidP="00E07D9B">
      <w:pPr>
        <w:pStyle w:val="AllowPageBreak"/>
      </w:pPr>
    </w:p>
    <w:p w:rsidR="00000000" w:rsidRPr="00E07D9B" w:rsidP="00E07D9B">
      <w:pPr>
        <w:pStyle w:val="Heading1"/>
      </w:pPr>
      <w:bookmarkStart w:id="2" w:name="O_986432"/>
      <w:bookmarkEnd w:id="2"/>
      <w:r w:rsidRPr="00E07D9B">
        <w:t>Performance Evidence</w:t>
      </w:r>
    </w:p>
    <w:p w:rsidR="00000000" w:rsidRPr="00E07D9B" w:rsidP="005436FB">
      <w:pPr>
        <w:pStyle w:val="BodyText"/>
      </w:pPr>
      <w:r w:rsidRPr="00E07D9B">
        <w:t>There must be evidence the candidate has compl</w:t>
      </w:r>
      <w:r w:rsidRPr="00E07D9B">
        <w:t>eted the tasks outlined in the elements and performance criteria of this unit, and:</w:t>
      </w:r>
    </w:p>
    <w:p w:rsidR="00000000" w:rsidRPr="00E07D9B" w:rsidP="00E07D9B">
      <w:pPr>
        <w:pStyle w:val="ListBullet"/>
      </w:pPr>
      <w:r w:rsidRPr="00E07D9B">
        <w:t>safely and effectively extracted precious metals from the host matrices in readiness for analysis on at least 3 occasions, including:</w:t>
      </w:r>
    </w:p>
    <w:p w:rsidR="00000000" w:rsidRPr="00E07D9B" w:rsidP="00E07D9B">
      <w:pPr>
        <w:pStyle w:val="ListBullet2"/>
      </w:pPr>
      <w:r w:rsidRPr="00E07D9B">
        <w:t>maintaining close attention to technical and safety requirements in a physically demanding, hazardous environment</w:t>
      </w:r>
    </w:p>
    <w:p w:rsidR="00000000" w:rsidRPr="00E07D9B" w:rsidP="00E07D9B">
      <w:pPr>
        <w:pStyle w:val="ListBullet2"/>
      </w:pPr>
      <w:r w:rsidRPr="00E07D9B">
        <w:t>recognising common sample preparation and cupellation problems and making standard adjustments to fluxes and firings</w:t>
      </w:r>
    </w:p>
    <w:p w:rsidR="00000000" w:rsidRPr="00E07D9B" w:rsidP="00E07D9B">
      <w:pPr>
        <w:pStyle w:val="ListBullet2"/>
      </w:pPr>
      <w:r w:rsidRPr="00E07D9B">
        <w:t>recognising non-acceptabl</w:t>
      </w:r>
      <w:r w:rsidRPr="00E07D9B">
        <w:t>e characteristics of received and fused samples, buttons and prills</w:t>
      </w:r>
    </w:p>
    <w:p w:rsidR="00000000" w:rsidRPr="00E07D9B" w:rsidP="00E07D9B">
      <w:pPr>
        <w:pStyle w:val="ListBullet2"/>
      </w:pPr>
      <w:r w:rsidRPr="00E07D9B">
        <w:t>recognising indicators of poor recovery and applying established corrective actions.</w:t>
      </w:r>
    </w:p>
    <w:p w:rsidR="00000000" w:rsidRPr="00E07D9B" w:rsidP="00E07D9B">
      <w:pPr>
        <w:pStyle w:val="AllowPageBreak"/>
      </w:pPr>
    </w:p>
    <w:p w:rsidR="00000000" w:rsidRPr="00E07D9B" w:rsidP="00E07D9B">
      <w:pPr>
        <w:pStyle w:val="Heading1"/>
      </w:pPr>
      <w:bookmarkStart w:id="3" w:name="O_986431"/>
      <w:bookmarkEnd w:id="3"/>
      <w:r w:rsidRPr="00E07D9B">
        <w:t>Knowledge Evidence</w:t>
      </w:r>
    </w:p>
    <w:p w:rsidR="00000000" w:rsidRPr="00E07D9B" w:rsidP="005436FB">
      <w:pPr>
        <w:pStyle w:val="BodyText"/>
      </w:pPr>
      <w:r w:rsidRPr="00E07D9B">
        <w:t>There must be evidence the candidate has knowledge of:</w:t>
      </w:r>
    </w:p>
    <w:p w:rsidR="00000000" w:rsidRPr="00E07D9B" w:rsidP="00E07D9B">
      <w:pPr>
        <w:pStyle w:val="ListBullet"/>
      </w:pPr>
      <w:r w:rsidRPr="00E07D9B">
        <w:t>workplace p</w:t>
      </w:r>
      <w:r w:rsidRPr="00E07D9B">
        <w:t>rocedures and/or standard methods for:</w:t>
      </w:r>
    </w:p>
    <w:p w:rsidR="00000000" w:rsidRPr="00E07D9B" w:rsidP="00E07D9B">
      <w:pPr>
        <w:pStyle w:val="ListBullet2"/>
      </w:pPr>
      <w:r w:rsidRPr="00E07D9B">
        <w:t>fusion of common mineral ore samples</w:t>
      </w:r>
    </w:p>
    <w:p w:rsidR="00000000" w:rsidRPr="00E07D9B" w:rsidP="00E07D9B">
      <w:pPr>
        <w:pStyle w:val="ListBullet2"/>
      </w:pPr>
      <w:r w:rsidRPr="00E07D9B">
        <w:t>cupellation of buttons</w:t>
      </w:r>
    </w:p>
    <w:p w:rsidR="00000000" w:rsidRPr="00E07D9B" w:rsidP="00E07D9B">
      <w:pPr>
        <w:pStyle w:val="ListBullet2"/>
      </w:pPr>
      <w:r w:rsidRPr="00E07D9B">
        <w:t>digestion/parting of prills</w:t>
      </w:r>
    </w:p>
    <w:p w:rsidR="00000000" w:rsidRPr="00E07D9B" w:rsidP="00E07D9B">
      <w:pPr>
        <w:pStyle w:val="ListBullet2"/>
      </w:pPr>
      <w:r w:rsidRPr="00E07D9B">
        <w:t>specific samples, sites and clients (labelling, preparation, storage, transport and disposal)</w:t>
      </w:r>
    </w:p>
    <w:p w:rsidR="00000000" w:rsidRPr="00E07D9B" w:rsidP="00E07D9B">
      <w:pPr>
        <w:pStyle w:val="ListBullet2"/>
      </w:pPr>
      <w:r w:rsidRPr="00E07D9B">
        <w:t xml:space="preserve">published preparation methods </w:t>
      </w:r>
    </w:p>
    <w:p w:rsidR="00000000" w:rsidRPr="00E07D9B" w:rsidP="00E07D9B">
      <w:pPr>
        <w:pStyle w:val="ListBullet2"/>
      </w:pPr>
      <w:r w:rsidRPr="00E07D9B">
        <w:t>rec</w:t>
      </w:r>
      <w:r w:rsidRPr="00E07D9B">
        <w:t xml:space="preserve">ording and reporting </w:t>
      </w:r>
    </w:p>
    <w:p w:rsidR="00000000" w:rsidRPr="00E07D9B" w:rsidP="00E07D9B">
      <w:pPr>
        <w:pStyle w:val="ListBullet2"/>
      </w:pPr>
      <w:r w:rsidRPr="00E07D9B">
        <w:t>waste minimisation and safe disposal</w:t>
      </w:r>
    </w:p>
    <w:p w:rsidR="00000000" w:rsidRPr="00E07D9B" w:rsidP="00E07D9B">
      <w:pPr>
        <w:pStyle w:val="ListBullet"/>
      </w:pPr>
      <w:r w:rsidRPr="00E07D9B">
        <w:t>common samples:</w:t>
      </w:r>
    </w:p>
    <w:p w:rsidR="00000000" w:rsidRPr="00E07D9B" w:rsidP="00E07D9B">
      <w:pPr>
        <w:pStyle w:val="ListBullet2"/>
      </w:pPr>
      <w:r w:rsidRPr="00E07D9B">
        <w:t>solids, such as rocks, minerals, soils, sands and stream sediments</w:t>
      </w:r>
    </w:p>
    <w:p w:rsidR="00000000" w:rsidRPr="00E07D9B" w:rsidP="00E07D9B">
      <w:pPr>
        <w:pStyle w:val="ListBullet2"/>
      </w:pPr>
      <w:r w:rsidRPr="00E07D9B">
        <w:t>core and other drill samples (e.g. rotary air blast (RAB), reverse circulation (RC) and aircore)</w:t>
      </w:r>
    </w:p>
    <w:p w:rsidR="00000000" w:rsidRPr="00E07D9B" w:rsidP="00E07D9B">
      <w:pPr>
        <w:pStyle w:val="ListBullet2"/>
      </w:pPr>
      <w:r w:rsidRPr="00E07D9B">
        <w:t>slurries, powder concentrates and metallurgical solutions</w:t>
      </w:r>
    </w:p>
    <w:p w:rsidR="00000000" w:rsidRPr="00E07D9B" w:rsidP="00E07D9B">
      <w:pPr>
        <w:pStyle w:val="ListBullet2"/>
      </w:pPr>
      <w:r w:rsidRPr="00E07D9B">
        <w:t>dump samples and grab samples</w:t>
      </w:r>
    </w:p>
    <w:p w:rsidR="00000000" w:rsidRPr="00E07D9B" w:rsidP="00E07D9B">
      <w:pPr>
        <w:pStyle w:val="ListBullet"/>
      </w:pPr>
      <w:r w:rsidRPr="00E07D9B">
        <w:t>sequencing of pots in a rack:</w:t>
      </w:r>
    </w:p>
    <w:p w:rsidR="00000000" w:rsidRPr="00E07D9B" w:rsidP="00E07D9B">
      <w:pPr>
        <w:pStyle w:val="ListBullet2"/>
      </w:pPr>
      <w:r w:rsidRPr="00E07D9B">
        <w:t>addition of silver wire or silver nitrate (AGNO</w:t>
      </w:r>
      <w:r w:rsidRPr="00E07D9B">
        <w:rPr>
          <w:rStyle w:val="Subscript"/>
        </w:rPr>
        <w:t>3</w:t>
      </w:r>
      <w:r w:rsidRPr="00E07D9B">
        <w:t>) mix</w:t>
      </w:r>
    </w:p>
    <w:p w:rsidR="00000000" w:rsidRPr="00E07D9B" w:rsidP="00E07D9B">
      <w:pPr>
        <w:pStyle w:val="ListBullet2"/>
      </w:pPr>
      <w:r w:rsidRPr="00E07D9B">
        <w:t>addition of coloured salts (e.g. copper sulphate CuSO</w:t>
      </w:r>
      <w:r w:rsidRPr="00E07D9B">
        <w:rPr>
          <w:rStyle w:val="Subscript"/>
        </w:rPr>
        <w:t>4</w:t>
      </w:r>
      <w:r w:rsidRPr="00E07D9B">
        <w:t>)</w:t>
      </w:r>
    </w:p>
    <w:p w:rsidR="00000000" w:rsidRPr="00E07D9B" w:rsidP="00E07D9B">
      <w:pPr>
        <w:pStyle w:val="ListBullet"/>
      </w:pPr>
      <w:r w:rsidRPr="00E07D9B">
        <w:t>separation of collectors:</w:t>
      </w:r>
    </w:p>
    <w:p w:rsidR="00000000" w:rsidRPr="00E07D9B" w:rsidP="00E07D9B">
      <w:pPr>
        <w:pStyle w:val="ListBullet2"/>
      </w:pPr>
      <w:r w:rsidRPr="00E07D9B">
        <w:t>cupellation; digestion; and/or parting, annealing and weighing for a gravimetric finish</w:t>
      </w:r>
    </w:p>
    <w:p w:rsidR="00000000" w:rsidRPr="00E07D9B" w:rsidP="00E07D9B">
      <w:pPr>
        <w:pStyle w:val="ListBullet"/>
      </w:pPr>
      <w:r w:rsidRPr="00E07D9B">
        <w:t>function, operation and maintenance of assay equipment used in job role</w:t>
      </w:r>
    </w:p>
    <w:p w:rsidR="00000000" w:rsidRPr="00E07D9B" w:rsidP="00E07D9B">
      <w:pPr>
        <w:pStyle w:val="ListBullet"/>
      </w:pPr>
      <w:r w:rsidRPr="00E07D9B">
        <w:t>typical hazards</w:t>
      </w:r>
    </w:p>
    <w:p w:rsidR="00000000" w:rsidRPr="00E07D9B" w:rsidP="00E07D9B">
      <w:pPr>
        <w:pStyle w:val="ListBullet"/>
      </w:pPr>
      <w:r w:rsidRPr="00E07D9B">
        <w:t xml:space="preserve">criteria for an </w:t>
      </w:r>
      <w:r>
        <w:t>‘</w:t>
      </w:r>
      <w:r w:rsidRPr="00E07D9B">
        <w:t>acceptable</w:t>
      </w:r>
      <w:r>
        <w:t>’</w:t>
      </w:r>
      <w:r w:rsidRPr="00E07D9B">
        <w:t xml:space="preserve"> button, including:</w:t>
      </w:r>
    </w:p>
    <w:p w:rsidR="00000000" w:rsidRPr="00E07D9B" w:rsidP="00E07D9B">
      <w:pPr>
        <w:pStyle w:val="ListBullet2"/>
      </w:pPr>
      <w:r w:rsidRPr="00E07D9B">
        <w:t>one piece, mass &gt;20 g and &lt;5</w:t>
      </w:r>
      <w:r w:rsidRPr="00E07D9B">
        <w:t>0 g</w:t>
      </w:r>
    </w:p>
    <w:p w:rsidR="00000000" w:rsidRPr="00E07D9B" w:rsidP="00E07D9B">
      <w:pPr>
        <w:pStyle w:val="ListBullet2"/>
      </w:pPr>
      <w:r w:rsidRPr="00E07D9B">
        <w:t>malleable</w:t>
      </w:r>
    </w:p>
    <w:p w:rsidR="00000000" w:rsidRPr="00E07D9B" w:rsidP="00E07D9B">
      <w:pPr>
        <w:pStyle w:val="ListBullet2"/>
      </w:pPr>
      <w:r w:rsidRPr="00E07D9B">
        <w:t>separates cleanly from slag</w:t>
      </w:r>
    </w:p>
    <w:p w:rsidR="00000000" w:rsidRPr="00E07D9B" w:rsidP="00E07D9B">
      <w:pPr>
        <w:pStyle w:val="ListBullet2"/>
      </w:pPr>
      <w:r w:rsidRPr="00E07D9B">
        <w:t>free of undecomposed ore, matte and speiss</w:t>
      </w:r>
    </w:p>
    <w:p w:rsidR="00000000" w:rsidRPr="00E07D9B" w:rsidP="00E07D9B">
      <w:pPr>
        <w:pStyle w:val="ListBullet"/>
      </w:pPr>
      <w:r w:rsidRPr="00E07D9B">
        <w:t>causes of contamination and losses, including:</w:t>
      </w:r>
    </w:p>
    <w:p w:rsidR="00000000" w:rsidRPr="00E07D9B" w:rsidP="00E07D9B">
      <w:pPr>
        <w:pStyle w:val="ListBullet2"/>
      </w:pPr>
      <w:r w:rsidRPr="00E07D9B">
        <w:t>poorly made cupels</w:t>
      </w:r>
    </w:p>
    <w:p w:rsidR="00000000" w:rsidRPr="00E07D9B" w:rsidP="00E07D9B">
      <w:pPr>
        <w:pStyle w:val="ListBullet2"/>
      </w:pPr>
      <w:r w:rsidRPr="00E07D9B">
        <w:t>base metals – copper (Cu), nickel (Ni), zinc (Zn) and bismuth (Bi)</w:t>
      </w:r>
    </w:p>
    <w:p w:rsidR="00000000" w:rsidRPr="00E07D9B" w:rsidP="00E07D9B">
      <w:pPr>
        <w:pStyle w:val="ListBullet2"/>
      </w:pPr>
      <w:r w:rsidRPr="00E07D9B">
        <w:t>arsenic (As), sulphur (S), antimony (Sb), selenium Se), tellurium (Te) and chromium (Cr)</w:t>
      </w:r>
    </w:p>
    <w:p w:rsidR="00000000" w:rsidRPr="00E07D9B" w:rsidP="00E07D9B">
      <w:pPr>
        <w:pStyle w:val="ListBullet2"/>
      </w:pPr>
      <w:r w:rsidRPr="00E07D9B">
        <w:t>scoria</w:t>
      </w:r>
    </w:p>
    <w:p w:rsidR="00000000" w:rsidRPr="00E07D9B" w:rsidP="00E07D9B">
      <w:pPr>
        <w:pStyle w:val="ListBullet2"/>
      </w:pPr>
      <w:r w:rsidRPr="00E07D9B">
        <w:t>sprouting</w:t>
      </w:r>
    </w:p>
    <w:p w:rsidR="00000000" w:rsidRPr="00E07D9B" w:rsidP="00E07D9B">
      <w:pPr>
        <w:pStyle w:val="ListBullet"/>
      </w:pPr>
      <w:r w:rsidRPr="00E07D9B">
        <w:t>indicators of potential loss and the corrective action, including:</w:t>
      </w:r>
    </w:p>
    <w:p w:rsidR="00000000" w:rsidRPr="00E07D9B" w:rsidP="00E07D9B">
      <w:pPr>
        <w:pStyle w:val="ListBullet2"/>
      </w:pPr>
      <w:r w:rsidRPr="00E07D9B">
        <w:t>viscous slag (check furnace temperature, adjust flux and lower charge weight)</w:t>
      </w:r>
    </w:p>
    <w:p w:rsidR="00000000" w:rsidRPr="00E07D9B" w:rsidP="00E07D9B">
      <w:pPr>
        <w:pStyle w:val="ListBullet2"/>
      </w:pPr>
      <w:r w:rsidRPr="00E07D9B">
        <w:t>lea</w:t>
      </w:r>
      <w:r w:rsidRPr="00E07D9B">
        <w:t>d shotting – (adjust flux, lower charge weight to compensate for high oxides, silicates and chromites)</w:t>
      </w:r>
    </w:p>
    <w:p w:rsidR="00000000" w:rsidRPr="00E07D9B" w:rsidP="00E07D9B">
      <w:pPr>
        <w:pStyle w:val="ListBullet2"/>
      </w:pPr>
      <w:r w:rsidRPr="00E07D9B">
        <w:t>sulphides (adjust fusion time, adjust sample weight and/or flux)</w:t>
      </w:r>
    </w:p>
    <w:p w:rsidR="00000000" w:rsidRPr="00E07D9B" w:rsidP="00E07D9B">
      <w:pPr>
        <w:pStyle w:val="ListBullet2"/>
      </w:pPr>
      <w:r w:rsidRPr="00E07D9B">
        <w:t>matte, speiss (adjust sample weight and flux)</w:t>
      </w:r>
    </w:p>
    <w:p w:rsidR="00000000" w:rsidRPr="00E07D9B" w:rsidP="00E07D9B">
      <w:pPr>
        <w:pStyle w:val="ListBullet2"/>
      </w:pPr>
      <w:r w:rsidRPr="00E07D9B">
        <w:t>incomplete fusion (adjust sample weight an</w:t>
      </w:r>
      <w:r w:rsidRPr="00E07D9B">
        <w:t>d/or flux)</w:t>
      </w:r>
    </w:p>
    <w:p w:rsidR="00000000" w:rsidRPr="00E07D9B" w:rsidP="00E07D9B">
      <w:pPr>
        <w:pStyle w:val="ListBullet2"/>
      </w:pPr>
      <w:r w:rsidRPr="00E07D9B">
        <w:t>unacceptable button (adjust sample weight and/or flux)</w:t>
      </w:r>
    </w:p>
    <w:p w:rsidR="00000000" w:rsidRPr="00E07D9B" w:rsidP="00E07D9B">
      <w:pPr>
        <w:pStyle w:val="ListBullet2"/>
      </w:pPr>
      <w:r w:rsidRPr="00E07D9B">
        <w:t>inquartation (add three parts silver (Ag) to prill, wrap in lead foil and re-cupel)</w:t>
      </w:r>
    </w:p>
    <w:p w:rsidR="00000000" w:rsidRPr="00E07D9B" w:rsidP="00E07D9B">
      <w:pPr>
        <w:pStyle w:val="ListBullet"/>
      </w:pPr>
      <w:r w:rsidRPr="00E07D9B">
        <w:t xml:space="preserve">workplace and legal traceability requirements </w:t>
      </w:r>
    </w:p>
    <w:p w:rsidR="00000000" w:rsidRPr="00E07D9B" w:rsidP="00E07D9B">
      <w:pPr>
        <w:pStyle w:val="ListBullet"/>
      </w:pPr>
      <w:r w:rsidRPr="00E07D9B">
        <w:t>awareness of environmental sustainability issues as they relate to the work task</w:t>
      </w:r>
    </w:p>
    <w:p w:rsidR="00000000" w:rsidRPr="00E07D9B" w:rsidP="00E07D9B">
      <w:pPr>
        <w:pStyle w:val="ListBullet"/>
      </w:pPr>
      <w:r w:rsidRPr="00E07D9B">
        <w:t xml:space="preserve">legal, ethical and work health and safety (WHS) requirements specific to the work task. </w:t>
      </w:r>
    </w:p>
    <w:p w:rsidR="00000000" w:rsidRPr="00E07D9B" w:rsidP="00E07D9B">
      <w:pPr>
        <w:pStyle w:val="AllowPageBreak"/>
      </w:pPr>
    </w:p>
    <w:p w:rsidR="00000000" w:rsidRPr="00E07D9B" w:rsidP="00E07D9B">
      <w:pPr>
        <w:pStyle w:val="Heading1"/>
      </w:pPr>
      <w:bookmarkStart w:id="4" w:name="O_986430"/>
      <w:bookmarkEnd w:id="4"/>
      <w:r w:rsidRPr="00E07D9B">
        <w:t>Assessment Conditions</w:t>
      </w:r>
    </w:p>
    <w:p w:rsidR="00000000" w:rsidRPr="00E07D9B" w:rsidP="005436FB">
      <w:pPr>
        <w:pStyle w:val="BodyText"/>
      </w:pPr>
      <w:r w:rsidRPr="00E07D9B">
        <w:t>Skills must have been demonstrated in the workp</w:t>
      </w:r>
      <w:r w:rsidRPr="00E07D9B">
        <w:t xml:space="preserve">lace or in a simulated environment that reflects workplace conditions and contingencies. The following conditions must be met for this unit: </w:t>
      </w:r>
    </w:p>
    <w:p w:rsidR="00000000" w:rsidRPr="00E07D9B" w:rsidP="00E07D9B">
      <w:pPr>
        <w:pStyle w:val="ListBullet"/>
      </w:pPr>
      <w:r w:rsidRPr="00E07D9B">
        <w:t xml:space="preserve">use of suitable facilities, equipment and resources, including: </w:t>
      </w:r>
    </w:p>
    <w:p w:rsidR="00000000" w:rsidRPr="00E07D9B" w:rsidP="00E07D9B">
      <w:pPr>
        <w:pStyle w:val="ListBullet2"/>
      </w:pPr>
      <w:r w:rsidRPr="00E07D9B">
        <w:t>a variety of precious metal ore samples and ass</w:t>
      </w:r>
      <w:r w:rsidRPr="00E07D9B">
        <w:t>ociated fire assay methods, fire assay materials and reagents</w:t>
      </w:r>
    </w:p>
    <w:p w:rsidR="00000000" w:rsidRPr="00E07D9B" w:rsidP="00E07D9B">
      <w:pPr>
        <w:pStyle w:val="ListBullet2"/>
      </w:pPr>
      <w:r w:rsidRPr="00E07D9B">
        <w:t>client requests and documentation: client profile, sample identification, sample receipt, storage and analyses, required preparation method and service charges</w:t>
      </w:r>
    </w:p>
    <w:p w:rsidR="00000000" w:rsidRPr="00E07D9B" w:rsidP="00E07D9B">
      <w:pPr>
        <w:pStyle w:val="ListBullet2"/>
      </w:pPr>
      <w:r w:rsidRPr="00E07D9B">
        <w:t>assay equipment, such as:</w:t>
      </w:r>
    </w:p>
    <w:p w:rsidR="00000000" w:rsidRPr="00E07D9B" w:rsidP="00E07D9B">
      <w:pPr>
        <w:pStyle w:val="ListBullet3"/>
      </w:pPr>
      <w:r w:rsidRPr="00E07D9B">
        <w:t xml:space="preserve">mixing </w:t>
      </w:r>
      <w:r w:rsidRPr="00E07D9B">
        <w:t>equipment and balances</w:t>
      </w:r>
    </w:p>
    <w:p w:rsidR="00000000" w:rsidRPr="00E07D9B" w:rsidP="00E07D9B">
      <w:pPr>
        <w:pStyle w:val="ListBullet3"/>
      </w:pPr>
      <w:r w:rsidRPr="00E07D9B">
        <w:t>fusion and muffle furnaces and associated spares</w:t>
      </w:r>
    </w:p>
    <w:p w:rsidR="00000000" w:rsidRPr="00E07D9B" w:rsidP="00E07D9B">
      <w:pPr>
        <w:pStyle w:val="ListBullet3"/>
      </w:pPr>
      <w:r w:rsidRPr="00E07D9B">
        <w:t>temperature sensors and hotplates</w:t>
      </w:r>
    </w:p>
    <w:p w:rsidR="00000000" w:rsidRPr="00E07D9B" w:rsidP="00E07D9B">
      <w:pPr>
        <w:pStyle w:val="ListBullet3"/>
      </w:pPr>
      <w:r w:rsidRPr="00E07D9B">
        <w:t>compressed air service, extraction systems and fuel supply lines</w:t>
      </w:r>
    </w:p>
    <w:p w:rsidR="00000000" w:rsidRPr="00E07D9B" w:rsidP="00E07D9B">
      <w:pPr>
        <w:pStyle w:val="ListBullet3"/>
      </w:pPr>
      <w:r w:rsidRPr="00E07D9B">
        <w:t>cupels, pouring equipment, pot loader, trolleys, moulds, tongs and hammers</w:t>
      </w:r>
    </w:p>
    <w:p w:rsidR="00000000" w:rsidRPr="00E07D9B" w:rsidP="00E07D9B">
      <w:pPr>
        <w:pStyle w:val="ListBullet3"/>
      </w:pPr>
      <w:r w:rsidRPr="00E07D9B">
        <w:t>pots, including ceramic, acidic/basic, alumina, zirconia and graphite</w:t>
      </w:r>
    </w:p>
    <w:p w:rsidR="00000000" w:rsidRPr="00E07D9B" w:rsidP="00E07D9B">
      <w:pPr>
        <w:pStyle w:val="ListBullet2"/>
      </w:pPr>
      <w:r w:rsidRPr="00E07D9B">
        <w:t>collectors, including litharge or lead (II) oxide (PbO) for pot fusion and silver (AGNO3) for the cupellation</w:t>
      </w:r>
    </w:p>
    <w:p w:rsidR="00000000" w:rsidRPr="00E07D9B" w:rsidP="00E07D9B">
      <w:pPr>
        <w:pStyle w:val="ListBullet2"/>
      </w:pPr>
      <w:r w:rsidRPr="00E07D9B">
        <w:t>fluxes</w:t>
      </w:r>
    </w:p>
    <w:p w:rsidR="00000000" w:rsidRPr="00E07D9B" w:rsidP="00E07D9B">
      <w:pPr>
        <w:pStyle w:val="ListBullet2"/>
      </w:pPr>
      <w:r w:rsidRPr="00E07D9B">
        <w:t>non-standard flux additives</w:t>
      </w:r>
    </w:p>
    <w:p w:rsidR="00000000" w:rsidRPr="00E07D9B" w:rsidP="00E07D9B">
      <w:pPr>
        <w:pStyle w:val="ListBullet2"/>
      </w:pPr>
      <w:r w:rsidRPr="00E07D9B">
        <w:t>safety equipment and safe work procedure</w:t>
      </w:r>
      <w:r w:rsidRPr="00E07D9B">
        <w:t>s.</w:t>
      </w:r>
    </w:p>
    <w:p w:rsidR="00000000" w:rsidRPr="00E07D9B" w:rsidP="005436FB">
      <w:pPr>
        <w:pStyle w:val="BodyText"/>
      </w:pPr>
      <w:r w:rsidRPr="00E07D9B">
        <w:br/>
        <w:t>Assessors must satisfy the NVR/AQTF mandatory competency requirements for assessors.</w:t>
      </w:r>
    </w:p>
    <w:p w:rsidR="00000000" w:rsidRPr="00E07D9B" w:rsidP="00E07D9B">
      <w:pPr>
        <w:pStyle w:val="AllowPageBreak"/>
      </w:pPr>
    </w:p>
    <w:p w:rsidR="00000000" w:rsidRPr="00E07D9B" w:rsidP="00E07D9B">
      <w:pPr>
        <w:pStyle w:val="Heading1"/>
      </w:pPr>
      <w:bookmarkStart w:id="5" w:name="O_986428"/>
      <w:bookmarkEnd w:id="5"/>
      <w:r w:rsidRPr="00E07D9B">
        <w:t>Links</w:t>
      </w:r>
    </w:p>
    <w:p w:rsidR="00000000" w:rsidRPr="00E07D9B" w:rsidP="005436FB">
      <w:pPr>
        <w:pStyle w:val="BodyText"/>
      </w:pPr>
      <w:r w:rsidRPr="00E07D9B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75126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E07D9B" w:rsidP="00E07D9B"/>
    <w:sectPr w:rsidSect="00E07D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D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D9B" w:rsidRPr="005436FB" w:rsidP="005436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D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6FB" w:rsidP="00E07D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36FB" w:rsidP="00E07D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436FB" w:rsidP="00E07D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D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6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D9B" w:rsidRPr="005436FB" w:rsidP="005436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D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6FB" w:rsidRPr="002D2AF8" w:rsidP="00E07D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MSL973023 Perform fire pouring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5436FB" w:rsidP="00E07D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96ED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EC6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BCD9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D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D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D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D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D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D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D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D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D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D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D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D9B"/>
  </w:style>
  <w:style w:type="character" w:customStyle="1" w:styleId="Heading1Char">
    <w:name w:val="Heading 1 Char"/>
    <w:basedOn w:val="DefaultParagraphFont"/>
    <w:link w:val="Heading1"/>
    <w:rsid w:val="00E07D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D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D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7D9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7D9B"/>
    <w:rPr>
      <w:b/>
      <w:spacing w:val="0"/>
    </w:rPr>
  </w:style>
  <w:style w:type="paragraph" w:styleId="ListBullet2">
    <w:name w:val="List Bullet 2"/>
    <w:basedOn w:val="List2"/>
    <w:rsid w:val="00E07D9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07D9B"/>
    <w:rPr>
      <w:i/>
    </w:rPr>
  </w:style>
  <w:style w:type="paragraph" w:customStyle="1" w:styleId="SuperHeading">
    <w:name w:val="SuperHeading"/>
    <w:basedOn w:val="Normal"/>
    <w:rsid w:val="00E07D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D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07D9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Subscript">
    <w:name w:val="Subscript"/>
    <w:basedOn w:val="DefaultParagraphFont"/>
    <w:rsid w:val="00E07D9B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7D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D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D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D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D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D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D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D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D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D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D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D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D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D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7D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7D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7D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D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D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7D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D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D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D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D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D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D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D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D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7D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D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D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D9B"/>
  </w:style>
  <w:style w:type="paragraph" w:styleId="TableofFigures">
    <w:name w:val="table of figures"/>
    <w:basedOn w:val="Normal"/>
    <w:next w:val="Normal"/>
    <w:semiHidden/>
    <w:rsid w:val="00E07D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D9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07D9B"/>
    <w:rPr>
      <w:rFonts w:ascii="Wingdings" w:hAnsi="Wingdings"/>
    </w:rPr>
  </w:style>
  <w:style w:type="paragraph" w:customStyle="1" w:styleId="TableHeading">
    <w:name w:val="Table Heading"/>
    <w:basedOn w:val="HeadingBase"/>
    <w:rsid w:val="00E07D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D9B"/>
    <w:rPr>
      <w:color w:val="0033CC"/>
      <w:u w:val="none"/>
    </w:rPr>
  </w:style>
  <w:style w:type="paragraph" w:customStyle="1" w:styleId="BodyTextRight">
    <w:name w:val="Body Text Right"/>
    <w:basedOn w:val="BodyText"/>
    <w:rsid w:val="00E07D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D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D9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D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D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D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D9B"/>
    <w:rPr>
      <w:sz w:val="32"/>
    </w:rPr>
  </w:style>
  <w:style w:type="paragraph" w:customStyle="1" w:styleId="HeadingProcedure">
    <w:name w:val="Heading Procedure"/>
    <w:basedOn w:val="HeadingBase"/>
    <w:next w:val="Normal"/>
    <w:rsid w:val="00E07D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D9B"/>
    <w:pPr>
      <w:spacing w:before="60" w:after="60"/>
    </w:pPr>
  </w:style>
  <w:style w:type="paragraph" w:styleId="ListContinue">
    <w:name w:val="List Continue"/>
    <w:basedOn w:val="List"/>
    <w:rsid w:val="00E07D9B"/>
    <w:pPr>
      <w:ind w:firstLine="0"/>
    </w:pPr>
  </w:style>
  <w:style w:type="paragraph" w:customStyle="1" w:styleId="ListNote">
    <w:name w:val="List Note"/>
    <w:basedOn w:val="List"/>
    <w:rsid w:val="00E07D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D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D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D9B"/>
    <w:rPr>
      <w:rFonts w:ascii="Courier New" w:hAnsi="Courier New"/>
    </w:rPr>
  </w:style>
  <w:style w:type="paragraph" w:customStyle="1" w:styleId="NoteBullet">
    <w:name w:val="Note Bullet"/>
    <w:basedOn w:val="Note"/>
    <w:rsid w:val="00E07D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D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D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D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D9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07D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D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D9B"/>
    <w:rPr>
      <w:b/>
      <w:smallCaps/>
    </w:rPr>
  </w:style>
  <w:style w:type="paragraph" w:customStyle="1" w:styleId="TableListNumber">
    <w:name w:val="Table List Number"/>
    <w:basedOn w:val="ListNumber"/>
    <w:rsid w:val="00E07D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D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D9B"/>
    <w:pPr>
      <w:numPr>
        <w:numId w:val="10"/>
      </w:numPr>
    </w:pPr>
  </w:style>
  <w:style w:type="paragraph" w:customStyle="1" w:styleId="ListAlpha2">
    <w:name w:val="List Alpha 2"/>
    <w:basedOn w:val="List2"/>
    <w:rsid w:val="00E07D9B"/>
    <w:pPr>
      <w:numPr>
        <w:numId w:val="9"/>
      </w:numPr>
    </w:pPr>
  </w:style>
  <w:style w:type="paragraph" w:styleId="List2">
    <w:name w:val="List 2"/>
    <w:basedOn w:val="BodyText"/>
    <w:rsid w:val="00E07D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D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D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D9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07D9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07D9B"/>
    <w:pPr>
      <w:numPr>
        <w:numId w:val="5"/>
      </w:numPr>
    </w:pPr>
  </w:style>
  <w:style w:type="paragraph" w:styleId="ListContinue2">
    <w:name w:val="List Continue 2"/>
    <w:basedOn w:val="List2"/>
    <w:rsid w:val="00E07D9B"/>
    <w:pPr>
      <w:ind w:firstLine="0"/>
    </w:pPr>
  </w:style>
  <w:style w:type="paragraph" w:styleId="ListContinue3">
    <w:name w:val="List Continue 3"/>
    <w:basedOn w:val="List3"/>
    <w:rsid w:val="00E07D9B"/>
    <w:pPr>
      <w:ind w:left="1021" w:firstLine="0"/>
    </w:pPr>
  </w:style>
  <w:style w:type="paragraph" w:styleId="ListContinue4">
    <w:name w:val="List Continue 4"/>
    <w:basedOn w:val="List4"/>
    <w:rsid w:val="00E07D9B"/>
    <w:pPr>
      <w:ind w:firstLine="0"/>
    </w:pPr>
  </w:style>
  <w:style w:type="paragraph" w:styleId="ListContinue5">
    <w:name w:val="List Continue 5"/>
    <w:basedOn w:val="List5"/>
    <w:rsid w:val="00E07D9B"/>
    <w:pPr>
      <w:ind w:firstLine="0"/>
    </w:pPr>
  </w:style>
  <w:style w:type="paragraph" w:styleId="ListNumber3">
    <w:name w:val="List Number 3"/>
    <w:basedOn w:val="List3"/>
    <w:rsid w:val="00E07D9B"/>
    <w:pPr>
      <w:numPr>
        <w:numId w:val="6"/>
      </w:numPr>
    </w:pPr>
  </w:style>
  <w:style w:type="paragraph" w:styleId="ListNumber4">
    <w:name w:val="List Number 4"/>
    <w:basedOn w:val="List4"/>
    <w:rsid w:val="00E07D9B"/>
    <w:pPr>
      <w:numPr>
        <w:numId w:val="7"/>
      </w:numPr>
    </w:pPr>
  </w:style>
  <w:style w:type="paragraph" w:styleId="ListNumber5">
    <w:name w:val="List Number 5"/>
    <w:basedOn w:val="List5"/>
    <w:rsid w:val="00E07D9B"/>
    <w:pPr>
      <w:numPr>
        <w:numId w:val="8"/>
      </w:numPr>
    </w:pPr>
  </w:style>
  <w:style w:type="paragraph" w:styleId="BlockText">
    <w:name w:val="Block Text"/>
    <w:basedOn w:val="Normal"/>
    <w:rsid w:val="00E07D9B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E07D9B"/>
    <w:rPr>
      <w:sz w:val="16"/>
      <w:vertAlign w:val="superscript"/>
    </w:rPr>
  </w:style>
  <w:style w:type="character" w:customStyle="1" w:styleId="Symbols">
    <w:name w:val="Symbols"/>
    <w:basedOn w:val="DefaultParagraphFont"/>
    <w:rsid w:val="00E07D9B"/>
    <w:rPr>
      <w:rFonts w:ascii="Symbol" w:hAnsi="Symbol"/>
    </w:rPr>
  </w:style>
  <w:style w:type="character" w:customStyle="1" w:styleId="MenuOptions">
    <w:name w:val="Menu Options"/>
    <w:basedOn w:val="DefaultParagraphFont"/>
    <w:rsid w:val="00E07D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D9B"/>
    <w:rPr>
      <w:b/>
    </w:rPr>
  </w:style>
  <w:style w:type="character" w:customStyle="1" w:styleId="Underlined">
    <w:name w:val="Underlined"/>
    <w:basedOn w:val="DefaultParagraphFont"/>
    <w:rsid w:val="00E07D9B"/>
    <w:rPr>
      <w:u w:val="single"/>
    </w:rPr>
  </w:style>
  <w:style w:type="paragraph" w:customStyle="1" w:styleId="TableBodyTextRight">
    <w:name w:val="Table Body Text Right"/>
    <w:basedOn w:val="TableBodyText"/>
    <w:rsid w:val="00E07D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D9B"/>
    <w:rPr>
      <w:sz w:val="18"/>
    </w:rPr>
  </w:style>
  <w:style w:type="paragraph" w:customStyle="1" w:styleId="BodySmallRight">
    <w:name w:val="Body Small Right"/>
    <w:basedOn w:val="BodyTextRight"/>
    <w:rsid w:val="00E07D9B"/>
    <w:rPr>
      <w:sz w:val="18"/>
      <w:szCs w:val="18"/>
    </w:rPr>
  </w:style>
  <w:style w:type="paragraph" w:customStyle="1" w:styleId="MarginEdition">
    <w:name w:val="Margin Edition"/>
    <w:basedOn w:val="MarginNote"/>
    <w:rsid w:val="00E07D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D9B"/>
    <w:rPr>
      <w:sz w:val="2"/>
      <w:szCs w:val="2"/>
    </w:rPr>
  </w:style>
  <w:style w:type="character" w:customStyle="1" w:styleId="Small">
    <w:name w:val="Small"/>
    <w:basedOn w:val="DefaultParagraphFont"/>
    <w:rsid w:val="00E07D9B"/>
    <w:rPr>
      <w:sz w:val="16"/>
    </w:rPr>
  </w:style>
  <w:style w:type="paragraph" w:customStyle="1" w:styleId="WideTable">
    <w:name w:val="Wide Table"/>
    <w:basedOn w:val="Normal"/>
    <w:rsid w:val="00E07D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D9B"/>
  </w:style>
  <w:style w:type="paragraph" w:styleId="Quote">
    <w:name w:val="Quote"/>
    <w:basedOn w:val="Heading1"/>
    <w:link w:val="QuoteChar"/>
    <w:qFormat/>
    <w:rsid w:val="00E07D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D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D9B"/>
    <w:pPr>
      <w:pageBreakBefore/>
    </w:pPr>
  </w:style>
  <w:style w:type="paragraph" w:customStyle="1" w:styleId="Border">
    <w:name w:val="Border"/>
    <w:basedOn w:val="Normal"/>
    <w:qFormat/>
    <w:rsid w:val="00E07D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D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D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D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D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D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D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D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D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D9B"/>
    <w:rPr>
      <w:u w:val="single"/>
    </w:rPr>
  </w:style>
  <w:style w:type="character" w:customStyle="1" w:styleId="BoldandItalics">
    <w:name w:val="Bold and Italics"/>
    <w:qFormat/>
    <w:rsid w:val="00E07D9B"/>
    <w:rPr>
      <w:b/>
      <w:i/>
      <w:u w:val="none"/>
    </w:rPr>
  </w:style>
  <w:style w:type="paragraph" w:styleId="BalloonText">
    <w:name w:val="Balloon Text"/>
    <w:basedOn w:val="Normal"/>
    <w:link w:val="BalloonTextChar"/>
    <w:rsid w:val="00E07D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D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D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D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D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D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D9B"/>
    <w:pPr>
      <w:spacing w:before="0" w:after="0"/>
    </w:pPr>
  </w:style>
  <w:style w:type="paragraph" w:customStyle="1" w:styleId="BodyTextBold">
    <w:name w:val="Body Text Bold"/>
    <w:basedOn w:val="BodyText"/>
    <w:qFormat/>
    <w:rsid w:val="00E07D9B"/>
    <w:rPr>
      <w:b/>
    </w:rPr>
  </w:style>
  <w:style w:type="character" w:styleId="Hyperlink">
    <w:name w:val="Hyperlink"/>
    <w:basedOn w:val="DefaultParagraphFont"/>
    <w:uiPriority w:val="99"/>
    <w:unhideWhenUsed/>
    <w:rsid w:val="005436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4209</Characters>
  <Application>Microsoft Office Word</Application>
  <DocSecurity>0</DocSecurity>
  <Lines>110</Lines>
  <Paragraphs>93</Paragraphs>
  <ScaleCrop>false</ScaleCrop>
  <Company>Author-it Software Corporation Ltd.</Company>
  <LinksUpToDate>false</LinksUpToDate>
  <CharactersWithSpaces>4763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MSL973023 Perform fire pouring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2022-12-19T23:59:00Z</dcterms:created>
  <dcterms:modified xsi:type="dcterms:W3CDTF">2022-12-19T23:59:00Z</dcterms:modified>
</cp:coreProperties>
</file>