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07D" w:rsidP="00200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MSL973019 Perform microscopic examination</w:t>
      </w:r>
      <w:r>
        <w:fldChar w:fldCharType="end"/>
      </w:r>
    </w:p>
    <w:p w:rsidR="0020007D" w:rsidP="0020007D">
      <w:pPr>
        <w:pStyle w:val="Version"/>
        <w:sectPr w:rsidSect="00B34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B89" w:rsidP="00B34B89">
      <w:pPr>
        <w:pStyle w:val="SuperHeading"/>
      </w:pPr>
      <w:r w:rsidRPr="00B34B89">
        <w:t>Assessment Requirements for MSL973019 Perform microscopic examination</w:t>
      </w:r>
    </w:p>
    <w:p w:rsidR="00000000" w:rsidRPr="00B34B89" w:rsidP="00B34B89">
      <w:pPr>
        <w:pStyle w:val="Heading1"/>
      </w:pPr>
      <w:bookmarkStart w:id="1" w:name="O_986361"/>
      <w:bookmarkEnd w:id="1"/>
      <w:r w:rsidRPr="00B34B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34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4B89" w:rsidP="00B34B89">
            <w:pPr>
              <w:pStyle w:val="BodyText"/>
            </w:pPr>
            <w:r w:rsidRPr="00B34B8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B89">
            <w:pPr>
              <w:pStyle w:val="BodyText"/>
              <w:rPr>
                <w:lang w:val="en-NZ"/>
              </w:rPr>
            </w:pPr>
            <w:r w:rsidRPr="00B34B89">
              <w:rPr>
                <w:rStyle w:val="SpecialBold"/>
              </w:rPr>
              <w:t>Comments</w:t>
            </w:r>
          </w:p>
        </w:tc>
      </w:tr>
      <w:tr w:rsidTr="00B34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89">
            <w:pPr>
              <w:pStyle w:val="BodyText"/>
              <w:rPr>
                <w:lang w:val="en-NZ"/>
              </w:rPr>
            </w:pPr>
            <w:r w:rsidRPr="00B34B8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89" w:rsidP="00B34B89">
            <w:pPr>
              <w:pStyle w:val="BodyText"/>
            </w:pPr>
            <w:r w:rsidRPr="00B34B89">
              <w:t xml:space="preserve">This version was released in </w:t>
            </w:r>
            <w:r w:rsidRPr="00B34B89">
              <w:rPr>
                <w:rStyle w:val="Emphasis"/>
              </w:rPr>
              <w:t>MSL Laboratory Operations Training Package Release 2.0.</w:t>
            </w:r>
          </w:p>
          <w:p w:rsidR="00000000" w:rsidRPr="00B34B89" w:rsidP="00B34B89">
            <w:pPr>
              <w:pStyle w:val="BodyText"/>
            </w:pPr>
            <w:r w:rsidRPr="00B34B89">
              <w:t>Supersedes and equivalent to MSL973007 Perform microscopic examination. Foundation skill information added. Range of conditions removed. Assessment requirements amended.</w:t>
            </w:r>
          </w:p>
        </w:tc>
      </w:tr>
    </w:tbl>
    <w:p w:rsidR="00000000" w:rsidRPr="00B34B89" w:rsidP="00B34B89">
      <w:pPr>
        <w:pStyle w:val="BodyText"/>
      </w:pPr>
    </w:p>
    <w:p w:rsidR="00000000" w:rsidRPr="00B34B89" w:rsidP="00B34B89">
      <w:pPr>
        <w:pStyle w:val="AllowPageBreak"/>
      </w:pPr>
    </w:p>
    <w:p w:rsidR="00000000" w:rsidRPr="00B34B89" w:rsidP="00B34B89">
      <w:pPr>
        <w:pStyle w:val="Heading1"/>
      </w:pPr>
      <w:bookmarkStart w:id="2" w:name="O_986364"/>
      <w:bookmarkEnd w:id="2"/>
      <w:r w:rsidRPr="00B34B89">
        <w:t>Performance Evidence</w:t>
      </w:r>
    </w:p>
    <w:p w:rsidR="00000000" w:rsidRPr="00B34B89" w:rsidP="0020007D">
      <w:pPr>
        <w:pStyle w:val="BodyText"/>
      </w:pPr>
      <w:r w:rsidRPr="00B34B89">
        <w:t>There must be evidence the candidate has compl</w:t>
      </w:r>
      <w:r w:rsidRPr="00B34B89">
        <w:t>eted the tasks outlined in the elements and performance criteria of this unit, and:</w:t>
      </w:r>
    </w:p>
    <w:p w:rsidR="00000000" w:rsidRPr="00B34B89" w:rsidP="00B34B89">
      <w:pPr>
        <w:pStyle w:val="ListBullet"/>
      </w:pPr>
      <w:r w:rsidRPr="00B34B89">
        <w:t>set up a microscope for köhler illumination on 10x, 40x and 100x magnification on at least 3 occasions</w:t>
      </w:r>
    </w:p>
    <w:p w:rsidR="00000000" w:rsidRPr="00B34B89" w:rsidP="00B34B89">
      <w:pPr>
        <w:pStyle w:val="ListBullet"/>
      </w:pPr>
      <w:r w:rsidRPr="00B34B89">
        <w:t>safely prepared and focused on at least 3 different sample types for examination with a compound light microscope including 3 from the following list:</w:t>
      </w:r>
    </w:p>
    <w:p w:rsidR="00000000" w:rsidRPr="00B34B89" w:rsidP="00B34B89">
      <w:pPr>
        <w:pStyle w:val="ListBullet2"/>
      </w:pPr>
      <w:r w:rsidRPr="00B34B89">
        <w:t>preparing and staining a smear or film with a monolayer of cells</w:t>
      </w:r>
    </w:p>
    <w:p w:rsidR="00000000" w:rsidRPr="00B34B89" w:rsidP="00B34B89">
      <w:pPr>
        <w:pStyle w:val="ListBullet2"/>
      </w:pPr>
      <w:r w:rsidRPr="00B34B89">
        <w:t>preparing a wet mount</w:t>
      </w:r>
    </w:p>
    <w:p w:rsidR="00000000" w:rsidRPr="00B34B89" w:rsidP="00B34B89">
      <w:pPr>
        <w:pStyle w:val="ListBullet2"/>
      </w:pPr>
      <w:r w:rsidRPr="00B34B89">
        <w:t xml:space="preserve">loading a sample </w:t>
      </w:r>
      <w:r w:rsidRPr="00B34B89">
        <w:t xml:space="preserve">into a counting chamber </w:t>
      </w:r>
    </w:p>
    <w:p w:rsidR="00000000" w:rsidRPr="00B34B89" w:rsidP="00B34B89">
      <w:pPr>
        <w:pStyle w:val="ListBullet2"/>
      </w:pPr>
      <w:r w:rsidRPr="00B34B89">
        <w:t>preparing hand cut samples</w:t>
      </w:r>
    </w:p>
    <w:p w:rsidR="00000000" w:rsidRPr="00B34B89" w:rsidP="00B34B89">
      <w:pPr>
        <w:pStyle w:val="ListBullet"/>
      </w:pPr>
      <w:r w:rsidRPr="00B34B89">
        <w:t>observed, identified and reported the microscopic characteristics of at least 2 different sample types including at least 1 from the following list:</w:t>
      </w:r>
    </w:p>
    <w:p w:rsidR="00000000" w:rsidRPr="00B34B89" w:rsidP="00B34B89">
      <w:pPr>
        <w:pStyle w:val="ListBullet2"/>
      </w:pPr>
      <w:r w:rsidRPr="00B34B89">
        <w:t>intact living or non-living organism</w:t>
      </w:r>
    </w:p>
    <w:p w:rsidR="00000000" w:rsidRPr="00B34B89" w:rsidP="00B34B89">
      <w:pPr>
        <w:pStyle w:val="ListBullet2"/>
      </w:pPr>
      <w:r w:rsidRPr="00B34B89">
        <w:t>fixed and staine</w:t>
      </w:r>
      <w:r w:rsidRPr="00B34B89">
        <w:t>d cells</w:t>
      </w:r>
    </w:p>
    <w:p w:rsidR="00000000" w:rsidRPr="00B34B89" w:rsidP="00B34B89">
      <w:pPr>
        <w:pStyle w:val="ListBullet2"/>
      </w:pPr>
      <w:r w:rsidRPr="00B34B89">
        <w:t>wet mount</w:t>
      </w:r>
    </w:p>
    <w:p w:rsidR="00000000" w:rsidRPr="00B34B89" w:rsidP="00B34B89">
      <w:pPr>
        <w:pStyle w:val="ListBullet"/>
      </w:pPr>
      <w:r w:rsidRPr="00B34B89">
        <w:t xml:space="preserve">taken basic measurements </w:t>
      </w:r>
    </w:p>
    <w:p w:rsidR="00000000" w:rsidRPr="00B34B89" w:rsidP="00B34B89">
      <w:pPr>
        <w:pStyle w:val="ListBullet"/>
      </w:pPr>
      <w:r w:rsidRPr="00B34B89">
        <w:t>performed a count using a grid</w:t>
      </w:r>
    </w:p>
    <w:p w:rsidR="00000000" w:rsidRPr="00B34B89" w:rsidP="00B34B89">
      <w:pPr>
        <w:pStyle w:val="ListBullet"/>
      </w:pPr>
      <w:r w:rsidRPr="00B34B89">
        <w:t>performed accurate calculations as required by the method, including:</w:t>
      </w:r>
    </w:p>
    <w:p w:rsidR="00000000" w:rsidRPr="00B34B89" w:rsidP="00B34B89">
      <w:pPr>
        <w:pStyle w:val="ListBullet2"/>
      </w:pPr>
      <w:r w:rsidRPr="00B34B89">
        <w:t>dilutions</w:t>
      </w:r>
    </w:p>
    <w:p w:rsidR="00000000" w:rsidRPr="00B34B89" w:rsidP="00B34B89">
      <w:pPr>
        <w:pStyle w:val="ListBullet2"/>
      </w:pPr>
      <w:r w:rsidRPr="00B34B89">
        <w:t>number of cells in original sample after dilution</w:t>
      </w:r>
    </w:p>
    <w:p w:rsidR="00000000" w:rsidRPr="00B34B89" w:rsidP="00B34B89">
      <w:pPr>
        <w:pStyle w:val="ListBullet2"/>
      </w:pPr>
      <w:r w:rsidRPr="00B34B89">
        <w:t>calculation of cells/volume based cell counts.</w:t>
      </w:r>
    </w:p>
    <w:p w:rsidR="00000000" w:rsidRPr="00B34B89" w:rsidP="00B34B89">
      <w:pPr>
        <w:pStyle w:val="AllowPageBreak"/>
      </w:pPr>
    </w:p>
    <w:p w:rsidR="00000000" w:rsidRPr="00B34B89" w:rsidP="00B34B89">
      <w:pPr>
        <w:pStyle w:val="Heading1"/>
      </w:pPr>
      <w:bookmarkStart w:id="3" w:name="O_986363"/>
      <w:bookmarkEnd w:id="3"/>
      <w:r w:rsidRPr="00B34B89">
        <w:t>Knowledge Evidence</w:t>
      </w:r>
    </w:p>
    <w:p w:rsidR="00000000" w:rsidRPr="00B34B89" w:rsidP="0020007D">
      <w:pPr>
        <w:pStyle w:val="BodyText"/>
      </w:pPr>
      <w:r w:rsidRPr="00B34B89">
        <w:t>There must be evidence the candidate has knowledge of:</w:t>
      </w:r>
    </w:p>
    <w:p w:rsidR="00000000" w:rsidRPr="00B34B89" w:rsidP="00B34B89">
      <w:pPr>
        <w:pStyle w:val="ListBullet"/>
      </w:pPr>
      <w:r w:rsidRPr="00B34B89">
        <w:t>nature of samples, sample preparation methods, methods of examination and associated hazards</w:t>
      </w:r>
    </w:p>
    <w:p w:rsidR="00000000" w:rsidRPr="00B34B89" w:rsidP="00B34B89">
      <w:pPr>
        <w:pStyle w:val="ListBullet"/>
      </w:pPr>
      <w:r w:rsidRPr="00B34B89">
        <w:t>parts and functions of a light microscope and steps taken to optimise th</w:t>
      </w:r>
      <w:r w:rsidRPr="00B34B89">
        <w:t>e resolution of images</w:t>
      </w:r>
    </w:p>
    <w:p w:rsidR="00000000" w:rsidRPr="00B34B89" w:rsidP="00B34B89">
      <w:pPr>
        <w:pStyle w:val="ListBullet"/>
      </w:pPr>
      <w:r w:rsidRPr="00B34B89">
        <w:t>procedures and reporting requirements for spills, faulty or unsafe equipment, hazards and incidents</w:t>
      </w:r>
    </w:p>
    <w:p w:rsidR="00000000" w:rsidRPr="00B34B89" w:rsidP="00B34B89">
      <w:pPr>
        <w:pStyle w:val="ListBullet"/>
      </w:pPr>
      <w:r w:rsidRPr="00B34B89">
        <w:t>types of samples relating to job role</w:t>
      </w:r>
    </w:p>
    <w:p w:rsidR="00000000" w:rsidRPr="00B34B89" w:rsidP="00B34B89">
      <w:pPr>
        <w:pStyle w:val="ListBullet"/>
      </w:pPr>
      <w:r w:rsidRPr="00B34B89">
        <w:t xml:space="preserve">causes and basic troubleshooting of common artefacts or incorrect results in microscopy </w:t>
      </w:r>
    </w:p>
    <w:p w:rsidR="00000000" w:rsidRPr="00B34B89" w:rsidP="00B34B89">
      <w:pPr>
        <w:pStyle w:val="ListBullet"/>
      </w:pPr>
      <w:r w:rsidRPr="00B34B89">
        <w:t>vernie</w:t>
      </w:r>
      <w:r w:rsidRPr="00B34B89">
        <w:t>r measurement and micrometry techniques</w:t>
      </w:r>
    </w:p>
    <w:p w:rsidR="00000000" w:rsidRPr="00B34B89" w:rsidP="00B34B89">
      <w:pPr>
        <w:pStyle w:val="ListBullet"/>
      </w:pPr>
      <w:r w:rsidRPr="00B34B89">
        <w:t>sample characteristics restricted to what can be viewed by light microscopy:</w:t>
      </w:r>
    </w:p>
    <w:p w:rsidR="00000000" w:rsidRPr="00B34B89" w:rsidP="00B34B89">
      <w:pPr>
        <w:pStyle w:val="ListBullet2"/>
      </w:pPr>
      <w:r w:rsidRPr="00B34B89">
        <w:t>shape and size of particles</w:t>
      </w:r>
    </w:p>
    <w:p w:rsidR="00000000" w:rsidRPr="00B34B89" w:rsidP="00B34B89">
      <w:pPr>
        <w:pStyle w:val="ListBullet2"/>
      </w:pPr>
      <w:r w:rsidRPr="00B34B89">
        <w:t>presence of contamination</w:t>
      </w:r>
    </w:p>
    <w:p w:rsidR="00000000" w:rsidRPr="00B34B89" w:rsidP="00B34B89">
      <w:pPr>
        <w:pStyle w:val="ListBullet2"/>
      </w:pPr>
      <w:r w:rsidRPr="00B34B89">
        <w:t>colour</w:t>
      </w:r>
    </w:p>
    <w:p w:rsidR="00000000" w:rsidRPr="00B34B89" w:rsidP="00B34B89">
      <w:pPr>
        <w:pStyle w:val="ListBullet2"/>
      </w:pPr>
      <w:r w:rsidRPr="00B34B89">
        <w:t>consistency and variability</w:t>
      </w:r>
    </w:p>
    <w:p w:rsidR="00000000" w:rsidRPr="00B34B89" w:rsidP="00B34B89">
      <w:pPr>
        <w:pStyle w:val="ListBullet2"/>
      </w:pPr>
      <w:r w:rsidRPr="00B34B89">
        <w:t>number of cells (e.g. cells in blood or other particulate samples, such as a yeast suspension or pollen grains)</w:t>
      </w:r>
    </w:p>
    <w:p w:rsidR="00000000" w:rsidRPr="00B34B89" w:rsidP="00B34B89">
      <w:pPr>
        <w:pStyle w:val="ListBullet2"/>
      </w:pPr>
      <w:r w:rsidRPr="00B34B89">
        <w:t>type of cells</w:t>
      </w:r>
    </w:p>
    <w:p w:rsidR="00000000" w:rsidRPr="00B34B89" w:rsidP="00B34B89">
      <w:pPr>
        <w:pStyle w:val="ListBullet2"/>
      </w:pPr>
      <w:r w:rsidRPr="00B34B89">
        <w:t>colour/staining and morphology</w:t>
      </w:r>
    </w:p>
    <w:p w:rsidR="00000000" w:rsidRPr="00B34B89" w:rsidP="00B34B89">
      <w:pPr>
        <w:pStyle w:val="ListBullet"/>
      </w:pPr>
      <w:r w:rsidRPr="00B34B89">
        <w:t xml:space="preserve">applications of different types of microscopes/setups including compound light, dark field, phase </w:t>
      </w:r>
      <w:r w:rsidRPr="00B34B89">
        <w:t>contrast, fluorescent, electron, polarising and stereomicroscope (dissecting)</w:t>
      </w:r>
    </w:p>
    <w:p w:rsidR="00000000" w:rsidRPr="00B34B89" w:rsidP="00B34B89">
      <w:pPr>
        <w:pStyle w:val="ListBullet"/>
      </w:pPr>
      <w:r w:rsidRPr="00B34B89">
        <w:t>awareness of environmental sustainability issues as they relate to the work task</w:t>
      </w:r>
    </w:p>
    <w:p w:rsidR="00000000" w:rsidRPr="00B34B89" w:rsidP="00B34B89">
      <w:pPr>
        <w:pStyle w:val="ListBullet"/>
      </w:pPr>
      <w:r w:rsidRPr="00B34B89">
        <w:t>traceability requirements</w:t>
      </w:r>
    </w:p>
    <w:p w:rsidR="00000000" w:rsidRPr="00B34B89" w:rsidP="00B34B89">
      <w:pPr>
        <w:pStyle w:val="ListBullet"/>
      </w:pPr>
      <w:r w:rsidRPr="00B34B89">
        <w:t>legal, ethical and work health and safety (WHS) requirements specific t</w:t>
      </w:r>
      <w:r w:rsidRPr="00B34B89">
        <w:t xml:space="preserve">o the work task. </w:t>
      </w:r>
    </w:p>
    <w:p w:rsidR="00000000" w:rsidRPr="00B34B89" w:rsidP="00B34B89">
      <w:pPr>
        <w:pStyle w:val="AllowPageBreak"/>
      </w:pPr>
    </w:p>
    <w:p w:rsidR="00000000" w:rsidRPr="00B34B89" w:rsidP="00B34B89">
      <w:pPr>
        <w:pStyle w:val="Heading1"/>
      </w:pPr>
      <w:bookmarkStart w:id="4" w:name="O_986362"/>
      <w:bookmarkEnd w:id="4"/>
      <w:r w:rsidRPr="00B34B89">
        <w:t>Assessment Conditions</w:t>
      </w:r>
    </w:p>
    <w:p w:rsidR="00000000" w:rsidRPr="00B34B89" w:rsidP="0020007D">
      <w:pPr>
        <w:pStyle w:val="BodyText"/>
      </w:pPr>
      <w:r w:rsidRPr="00B34B8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34B89" w:rsidP="00B34B89">
      <w:pPr>
        <w:pStyle w:val="ListBullet"/>
      </w:pPr>
      <w:r w:rsidRPr="00B34B89">
        <w:t xml:space="preserve">use of suitable facilities, equipment and resources, including: </w:t>
      </w:r>
    </w:p>
    <w:p w:rsidR="00000000" w:rsidRPr="00B34B89" w:rsidP="00B34B89">
      <w:pPr>
        <w:pStyle w:val="ListBullet2"/>
      </w:pPr>
      <w:r w:rsidRPr="00B34B89">
        <w:t xml:space="preserve">a standard laboratory equipped with appropriate equipment, including light microscopes and samples </w:t>
      </w:r>
    </w:p>
    <w:p w:rsidR="00000000" w:rsidRPr="00B34B89" w:rsidP="00B34B89">
      <w:pPr>
        <w:pStyle w:val="ListBullet2"/>
      </w:pPr>
      <w:r w:rsidRPr="00B34B89">
        <w:t>workplace procedures, standard methods and materials</w:t>
      </w:r>
    </w:p>
    <w:p w:rsidR="00000000" w:rsidRPr="00B34B89" w:rsidP="00B34B89">
      <w:pPr>
        <w:pStyle w:val="ListBullet2"/>
      </w:pPr>
      <w:r w:rsidRPr="00B34B89">
        <w:t>a light microscope.</w:t>
      </w:r>
    </w:p>
    <w:p w:rsidR="00000000" w:rsidRPr="00B34B89" w:rsidP="0020007D">
      <w:pPr>
        <w:pStyle w:val="BodyText"/>
      </w:pPr>
      <w:r w:rsidRPr="00B34B89">
        <w:br/>
        <w:t>Assessors must s</w:t>
      </w:r>
      <w:r w:rsidRPr="00B34B89">
        <w:t>atisfy the NVR/AQTF mandatory competency requirements for assessors.</w:t>
      </w:r>
    </w:p>
    <w:p w:rsidR="00000000" w:rsidRPr="00B34B89" w:rsidP="00B34B89">
      <w:pPr>
        <w:pStyle w:val="AllowPageBreak"/>
      </w:pPr>
    </w:p>
    <w:p w:rsidR="00000000" w:rsidRPr="00B34B89" w:rsidP="00B34B89">
      <w:pPr>
        <w:pStyle w:val="Heading1"/>
      </w:pPr>
      <w:bookmarkStart w:id="5" w:name="O_986360"/>
      <w:bookmarkEnd w:id="5"/>
      <w:r w:rsidRPr="00B34B89">
        <w:t>Links</w:t>
      </w:r>
    </w:p>
    <w:p w:rsidR="00000000" w:rsidRPr="00B34B89" w:rsidP="0020007D">
      <w:pPr>
        <w:pStyle w:val="BodyText"/>
      </w:pPr>
      <w:r w:rsidRPr="00B34B8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236C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34B89" w:rsidP="00B34B89"/>
    <w:sectPr w:rsidSect="00B34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89" w:rsidRPr="0020007D" w:rsidP="00200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7D" w:rsidP="00B34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07D" w:rsidP="00B34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007D" w:rsidP="00B34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B89" w:rsidRPr="0020007D" w:rsidP="00200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7D" w:rsidRPr="002D2AF8" w:rsidP="00B34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MSL973019 Perform microscopic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0007D" w:rsidP="00B34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1A2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EB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C4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B89"/>
  </w:style>
  <w:style w:type="character" w:customStyle="1" w:styleId="Heading1Char">
    <w:name w:val="Heading 1 Char"/>
    <w:basedOn w:val="DefaultParagraphFont"/>
    <w:link w:val="Heading1"/>
    <w:rsid w:val="00B34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B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B89"/>
    <w:rPr>
      <w:b/>
      <w:spacing w:val="0"/>
    </w:rPr>
  </w:style>
  <w:style w:type="paragraph" w:styleId="ListBullet2">
    <w:name w:val="List Bullet 2"/>
    <w:basedOn w:val="List2"/>
    <w:rsid w:val="00B34B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4B89"/>
    <w:rPr>
      <w:i/>
    </w:rPr>
  </w:style>
  <w:style w:type="paragraph" w:customStyle="1" w:styleId="SuperHeading">
    <w:name w:val="SuperHeading"/>
    <w:basedOn w:val="Normal"/>
    <w:rsid w:val="00B34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B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B89"/>
  </w:style>
  <w:style w:type="paragraph" w:styleId="TableofFigures">
    <w:name w:val="table of figures"/>
    <w:basedOn w:val="Normal"/>
    <w:next w:val="Normal"/>
    <w:semiHidden/>
    <w:rsid w:val="00B34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B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B89"/>
    <w:rPr>
      <w:rFonts w:ascii="Wingdings" w:hAnsi="Wingdings"/>
    </w:rPr>
  </w:style>
  <w:style w:type="paragraph" w:customStyle="1" w:styleId="TableHeading">
    <w:name w:val="Table Heading"/>
    <w:basedOn w:val="HeadingBase"/>
    <w:rsid w:val="00B34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B89"/>
    <w:rPr>
      <w:color w:val="0033CC"/>
      <w:u w:val="none"/>
    </w:rPr>
  </w:style>
  <w:style w:type="paragraph" w:customStyle="1" w:styleId="BodyTextRight">
    <w:name w:val="Body Text Right"/>
    <w:basedOn w:val="BodyText"/>
    <w:rsid w:val="00B34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B89"/>
    <w:rPr>
      <w:sz w:val="32"/>
    </w:rPr>
  </w:style>
  <w:style w:type="paragraph" w:customStyle="1" w:styleId="HeadingProcedure">
    <w:name w:val="Heading Procedure"/>
    <w:basedOn w:val="HeadingBase"/>
    <w:next w:val="Normal"/>
    <w:rsid w:val="00B34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B89"/>
    <w:pPr>
      <w:spacing w:before="60" w:after="60"/>
    </w:pPr>
  </w:style>
  <w:style w:type="paragraph" w:styleId="ListContinue">
    <w:name w:val="List Continue"/>
    <w:basedOn w:val="List"/>
    <w:rsid w:val="00B34B89"/>
    <w:pPr>
      <w:ind w:firstLine="0"/>
    </w:pPr>
  </w:style>
  <w:style w:type="paragraph" w:customStyle="1" w:styleId="ListNote">
    <w:name w:val="List Note"/>
    <w:basedOn w:val="List"/>
    <w:rsid w:val="00B34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B89"/>
    <w:rPr>
      <w:rFonts w:ascii="Courier New" w:hAnsi="Courier New"/>
    </w:rPr>
  </w:style>
  <w:style w:type="paragraph" w:customStyle="1" w:styleId="NoteBullet">
    <w:name w:val="Note Bullet"/>
    <w:basedOn w:val="Note"/>
    <w:rsid w:val="00B34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B89"/>
    <w:rPr>
      <w:b/>
      <w:smallCaps/>
    </w:rPr>
  </w:style>
  <w:style w:type="paragraph" w:customStyle="1" w:styleId="TableListNumber">
    <w:name w:val="Table List Number"/>
    <w:basedOn w:val="ListNumber"/>
    <w:rsid w:val="00B34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B89"/>
    <w:pPr>
      <w:numPr>
        <w:numId w:val="9"/>
      </w:numPr>
    </w:pPr>
  </w:style>
  <w:style w:type="paragraph" w:customStyle="1" w:styleId="ListAlpha2">
    <w:name w:val="List Alpha 2"/>
    <w:basedOn w:val="List2"/>
    <w:rsid w:val="00B34B89"/>
    <w:pPr>
      <w:numPr>
        <w:numId w:val="8"/>
      </w:numPr>
    </w:pPr>
  </w:style>
  <w:style w:type="paragraph" w:styleId="List2">
    <w:name w:val="List 2"/>
    <w:basedOn w:val="BodyText"/>
    <w:rsid w:val="00B34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B89"/>
    <w:pPr>
      <w:numPr>
        <w:numId w:val="4"/>
      </w:numPr>
    </w:pPr>
  </w:style>
  <w:style w:type="paragraph" w:styleId="ListContinue2">
    <w:name w:val="List Continue 2"/>
    <w:basedOn w:val="List2"/>
    <w:rsid w:val="00B34B89"/>
    <w:pPr>
      <w:ind w:firstLine="0"/>
    </w:pPr>
  </w:style>
  <w:style w:type="paragraph" w:styleId="ListContinue3">
    <w:name w:val="List Continue 3"/>
    <w:basedOn w:val="List3"/>
    <w:rsid w:val="00B34B89"/>
    <w:pPr>
      <w:ind w:left="1021" w:firstLine="0"/>
    </w:pPr>
  </w:style>
  <w:style w:type="paragraph" w:styleId="ListContinue4">
    <w:name w:val="List Continue 4"/>
    <w:basedOn w:val="List4"/>
    <w:rsid w:val="00B34B89"/>
    <w:pPr>
      <w:ind w:firstLine="0"/>
    </w:pPr>
  </w:style>
  <w:style w:type="paragraph" w:styleId="ListContinue5">
    <w:name w:val="List Continue 5"/>
    <w:basedOn w:val="List5"/>
    <w:rsid w:val="00B34B89"/>
    <w:pPr>
      <w:ind w:firstLine="0"/>
    </w:pPr>
  </w:style>
  <w:style w:type="paragraph" w:styleId="ListNumber3">
    <w:name w:val="List Number 3"/>
    <w:basedOn w:val="List3"/>
    <w:rsid w:val="00B34B89"/>
    <w:pPr>
      <w:numPr>
        <w:numId w:val="5"/>
      </w:numPr>
    </w:pPr>
  </w:style>
  <w:style w:type="paragraph" w:styleId="ListNumber4">
    <w:name w:val="List Number 4"/>
    <w:basedOn w:val="List4"/>
    <w:rsid w:val="00B34B89"/>
    <w:pPr>
      <w:numPr>
        <w:numId w:val="6"/>
      </w:numPr>
    </w:pPr>
  </w:style>
  <w:style w:type="paragraph" w:styleId="ListNumber5">
    <w:name w:val="List Number 5"/>
    <w:basedOn w:val="List5"/>
    <w:rsid w:val="00B34B89"/>
    <w:pPr>
      <w:numPr>
        <w:numId w:val="7"/>
      </w:numPr>
    </w:pPr>
  </w:style>
  <w:style w:type="paragraph" w:styleId="BlockText">
    <w:name w:val="Block Text"/>
    <w:basedOn w:val="Normal"/>
    <w:rsid w:val="00B34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B89"/>
    <w:rPr>
      <w:sz w:val="16"/>
      <w:vertAlign w:val="superscript"/>
    </w:rPr>
  </w:style>
  <w:style w:type="character" w:customStyle="1" w:styleId="Symbols">
    <w:name w:val="Symbols"/>
    <w:basedOn w:val="DefaultParagraphFont"/>
    <w:rsid w:val="00B34B89"/>
    <w:rPr>
      <w:rFonts w:ascii="Symbol" w:hAnsi="Symbol"/>
    </w:rPr>
  </w:style>
  <w:style w:type="character" w:customStyle="1" w:styleId="MenuOptions">
    <w:name w:val="Menu Options"/>
    <w:basedOn w:val="DefaultParagraphFont"/>
    <w:rsid w:val="00B34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B89"/>
    <w:rPr>
      <w:b/>
    </w:rPr>
  </w:style>
  <w:style w:type="character" w:customStyle="1" w:styleId="Underlined">
    <w:name w:val="Underlined"/>
    <w:basedOn w:val="DefaultParagraphFont"/>
    <w:rsid w:val="00B34B89"/>
    <w:rPr>
      <w:u w:val="single"/>
    </w:rPr>
  </w:style>
  <w:style w:type="paragraph" w:customStyle="1" w:styleId="TableBodyTextRight">
    <w:name w:val="Table Body Text Right"/>
    <w:basedOn w:val="TableBodyText"/>
    <w:rsid w:val="00B34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B89"/>
    <w:rPr>
      <w:sz w:val="18"/>
    </w:rPr>
  </w:style>
  <w:style w:type="paragraph" w:customStyle="1" w:styleId="BodySmallRight">
    <w:name w:val="Body Small Right"/>
    <w:basedOn w:val="BodyTextRight"/>
    <w:rsid w:val="00B34B89"/>
    <w:rPr>
      <w:sz w:val="18"/>
      <w:szCs w:val="18"/>
    </w:rPr>
  </w:style>
  <w:style w:type="paragraph" w:customStyle="1" w:styleId="MarginEdition">
    <w:name w:val="Margin Edition"/>
    <w:basedOn w:val="MarginNote"/>
    <w:rsid w:val="00B34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B89"/>
    <w:rPr>
      <w:sz w:val="2"/>
      <w:szCs w:val="2"/>
    </w:rPr>
  </w:style>
  <w:style w:type="character" w:customStyle="1" w:styleId="Small">
    <w:name w:val="Small"/>
    <w:basedOn w:val="DefaultParagraphFont"/>
    <w:rsid w:val="00B34B89"/>
    <w:rPr>
      <w:sz w:val="16"/>
    </w:rPr>
  </w:style>
  <w:style w:type="paragraph" w:customStyle="1" w:styleId="WideTable">
    <w:name w:val="Wide Table"/>
    <w:basedOn w:val="Normal"/>
    <w:rsid w:val="00B34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B89"/>
  </w:style>
  <w:style w:type="paragraph" w:styleId="Quote">
    <w:name w:val="Quote"/>
    <w:basedOn w:val="Heading1"/>
    <w:link w:val="QuoteChar"/>
    <w:qFormat/>
    <w:rsid w:val="00B34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B89"/>
    <w:pPr>
      <w:pageBreakBefore/>
    </w:pPr>
  </w:style>
  <w:style w:type="paragraph" w:customStyle="1" w:styleId="Border">
    <w:name w:val="Border"/>
    <w:basedOn w:val="Normal"/>
    <w:qFormat/>
    <w:rsid w:val="00B34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B89"/>
    <w:rPr>
      <w:u w:val="single"/>
    </w:rPr>
  </w:style>
  <w:style w:type="character" w:customStyle="1" w:styleId="BoldandItalics">
    <w:name w:val="Bold and Italics"/>
    <w:qFormat/>
    <w:rsid w:val="00B34B89"/>
    <w:rPr>
      <w:b/>
      <w:i/>
      <w:u w:val="none"/>
    </w:rPr>
  </w:style>
  <w:style w:type="paragraph" w:styleId="BalloonText">
    <w:name w:val="Balloon Text"/>
    <w:basedOn w:val="Normal"/>
    <w:link w:val="BalloonTextChar"/>
    <w:rsid w:val="00B34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B89"/>
    <w:pPr>
      <w:spacing w:before="0" w:after="0"/>
    </w:pPr>
  </w:style>
  <w:style w:type="paragraph" w:customStyle="1" w:styleId="BodyTextBold">
    <w:name w:val="Body Text Bold"/>
    <w:basedOn w:val="BodyText"/>
    <w:qFormat/>
    <w:rsid w:val="00B34B89"/>
    <w:rPr>
      <w:b/>
    </w:rPr>
  </w:style>
  <w:style w:type="character" w:styleId="Hyperlink">
    <w:name w:val="Hyperlink"/>
    <w:basedOn w:val="DefaultParagraphFont"/>
    <w:uiPriority w:val="99"/>
    <w:unhideWhenUsed/>
    <w:rsid w:val="00200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3109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MSL973019 Perform microscopic examination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