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D20" w:rsidP="00A86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MSL973018 Prepare trial batches for evaluation</w:t>
      </w:r>
      <w:r>
        <w:fldChar w:fldCharType="end"/>
      </w:r>
    </w:p>
    <w:p w:rsidR="00A86D20" w:rsidP="00A86D20">
      <w:pPr>
        <w:pStyle w:val="Version"/>
        <w:sectPr w:rsidSect="00A17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BAA" w:rsidP="00A17BAA">
      <w:pPr>
        <w:pStyle w:val="SuperHeading"/>
      </w:pPr>
      <w:r w:rsidRPr="00A17BAA">
        <w:t>Assessment Requirements for MSL973018 Prepare trial batches for evaluation</w:t>
      </w:r>
    </w:p>
    <w:p w:rsidR="00000000" w:rsidRPr="00A17BAA" w:rsidP="00A17BAA">
      <w:pPr>
        <w:pStyle w:val="Heading1"/>
      </w:pPr>
      <w:bookmarkStart w:id="1" w:name="O_986344"/>
      <w:bookmarkEnd w:id="1"/>
      <w:r w:rsidRPr="00A17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17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7BAA" w:rsidP="00A17BAA">
            <w:pPr>
              <w:pStyle w:val="BodyText"/>
            </w:pPr>
            <w:r w:rsidRPr="00A17BA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7BAA">
            <w:pPr>
              <w:pStyle w:val="BodyText"/>
              <w:rPr>
                <w:lang w:val="en-NZ"/>
              </w:rPr>
            </w:pPr>
            <w:r w:rsidRPr="00A17BAA">
              <w:rPr>
                <w:rStyle w:val="SpecialBold"/>
              </w:rPr>
              <w:t>Comments</w:t>
            </w:r>
          </w:p>
        </w:tc>
      </w:tr>
      <w:tr w:rsidTr="00A17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BAA">
            <w:pPr>
              <w:pStyle w:val="BodyText"/>
              <w:rPr>
                <w:lang w:val="en-NZ"/>
              </w:rPr>
            </w:pPr>
            <w:r w:rsidRPr="00A17BA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BAA" w:rsidP="00A17BAA">
            <w:pPr>
              <w:pStyle w:val="BodyText"/>
            </w:pPr>
            <w:r w:rsidRPr="00A17BAA">
              <w:t xml:space="preserve">This version was released in </w:t>
            </w:r>
            <w:r w:rsidRPr="00A17BAA">
              <w:rPr>
                <w:rStyle w:val="Emphasis"/>
              </w:rPr>
              <w:t>MSL Laboratory Operations Training Package Release 2.0.</w:t>
            </w:r>
          </w:p>
          <w:p w:rsidR="00000000" w:rsidRPr="00A17BAA" w:rsidP="00A17BAA">
            <w:pPr>
              <w:pStyle w:val="BodyText"/>
            </w:pPr>
            <w:r w:rsidRPr="00A17BAA">
              <w:t>Supersedes and equivalent to MSL973006 Prepare trial batches for evaluation. Foundation skill information added. Range of conditions removed. Assessment requirements amended.</w:t>
            </w:r>
          </w:p>
        </w:tc>
      </w:tr>
    </w:tbl>
    <w:p w:rsidR="00000000" w:rsidRPr="00A17BAA" w:rsidP="00A17BAA">
      <w:pPr>
        <w:pStyle w:val="BodyText"/>
      </w:pPr>
    </w:p>
    <w:p w:rsidR="00000000" w:rsidRPr="00A17BAA" w:rsidP="00A17BAA">
      <w:pPr>
        <w:pStyle w:val="AllowPageBreak"/>
      </w:pPr>
    </w:p>
    <w:p w:rsidR="00000000" w:rsidRPr="00A17BAA" w:rsidP="00A17BAA">
      <w:pPr>
        <w:pStyle w:val="Heading1"/>
      </w:pPr>
      <w:bookmarkStart w:id="2" w:name="O_986347"/>
      <w:bookmarkEnd w:id="2"/>
      <w:r w:rsidRPr="00A17BAA">
        <w:t>Performance Evidence</w:t>
      </w:r>
    </w:p>
    <w:p w:rsidR="00000000" w:rsidRPr="00A17BAA" w:rsidP="00A86D20">
      <w:pPr>
        <w:pStyle w:val="BodyText"/>
      </w:pPr>
      <w:r w:rsidRPr="00A17BAA">
        <w:t xml:space="preserve">There must be evidence the candidate has </w:t>
      </w:r>
      <w:r w:rsidRPr="00A17BAA">
        <w:t>completed the tasks outlined in the elements and performance criteria of this unit, and:</w:t>
      </w:r>
    </w:p>
    <w:p w:rsidR="00000000" w:rsidRPr="00A17BAA" w:rsidP="00A17BAA">
      <w:pPr>
        <w:pStyle w:val="ListBullet"/>
      </w:pPr>
      <w:r w:rsidRPr="00A17BAA">
        <w:t>safely and effectively prepared and evaluated at least 3 different trial batches of materials.</w:t>
      </w:r>
    </w:p>
    <w:p w:rsidR="00000000" w:rsidRPr="00A17BAA" w:rsidP="00A17BAA">
      <w:pPr>
        <w:pStyle w:val="AllowPageBreak"/>
      </w:pPr>
    </w:p>
    <w:p w:rsidR="00000000" w:rsidRPr="00A17BAA" w:rsidP="00A17BAA">
      <w:pPr>
        <w:pStyle w:val="Heading1"/>
      </w:pPr>
      <w:bookmarkStart w:id="3" w:name="O_986346"/>
      <w:bookmarkEnd w:id="3"/>
      <w:r w:rsidRPr="00A17BAA">
        <w:t>Knowledge Evidence</w:t>
      </w:r>
    </w:p>
    <w:p w:rsidR="00000000" w:rsidRPr="00A17BAA" w:rsidP="00A86D20">
      <w:pPr>
        <w:pStyle w:val="BodyText"/>
      </w:pPr>
      <w:r w:rsidRPr="00A17BAA">
        <w:t>There must be evidence the candidate has knowledge of:</w:t>
      </w:r>
    </w:p>
    <w:p w:rsidR="00000000" w:rsidRPr="00A17BAA" w:rsidP="00A17BAA">
      <w:pPr>
        <w:pStyle w:val="ListBullet"/>
      </w:pPr>
      <w:r w:rsidRPr="00A17BAA">
        <w:t>concepts of metrology, including:</w:t>
      </w:r>
    </w:p>
    <w:p w:rsidR="00000000" w:rsidRPr="00A17BAA" w:rsidP="00A17BAA">
      <w:pPr>
        <w:pStyle w:val="ListBullet2"/>
      </w:pPr>
      <w:r w:rsidRPr="00A17BAA">
        <w:t>all measurements are estimates</w:t>
      </w:r>
    </w:p>
    <w:p w:rsidR="00000000" w:rsidRPr="00A17BAA" w:rsidP="00A17BAA">
      <w:pPr>
        <w:pStyle w:val="ListBullet2"/>
      </w:pPr>
      <w:r w:rsidRPr="00A17BAA">
        <w:t>measurements belong to a population of measurements of the measured parameters</w:t>
      </w:r>
    </w:p>
    <w:p w:rsidR="00000000" w:rsidRPr="00A17BAA" w:rsidP="00A17BAA">
      <w:pPr>
        <w:pStyle w:val="ListBullet2"/>
      </w:pPr>
      <w:r w:rsidRPr="00A17BAA">
        <w:t>precision, accuracy and significant figures</w:t>
      </w:r>
    </w:p>
    <w:p w:rsidR="00000000" w:rsidRPr="00A17BAA" w:rsidP="00A17BAA">
      <w:pPr>
        <w:pStyle w:val="ListBullet2"/>
      </w:pPr>
      <w:r w:rsidRPr="00A17BAA">
        <w:t xml:space="preserve">sources of </w:t>
      </w:r>
      <w:r w:rsidRPr="00A17BAA">
        <w:t>error, uncertainty and repeatability</w:t>
      </w:r>
    </w:p>
    <w:p w:rsidR="00000000" w:rsidRPr="00A17BAA" w:rsidP="00A17BAA">
      <w:pPr>
        <w:pStyle w:val="ListBullet2"/>
      </w:pPr>
      <w:r w:rsidRPr="00A17BAA">
        <w:t>traceability</w:t>
      </w:r>
    </w:p>
    <w:p w:rsidR="00000000" w:rsidRPr="00A17BAA" w:rsidP="00A17BAA">
      <w:pPr>
        <w:pStyle w:val="ListBullet"/>
      </w:pPr>
      <w:r w:rsidRPr="00A17BAA">
        <w:t>international system of units (SI)</w:t>
      </w:r>
    </w:p>
    <w:p w:rsidR="00000000" w:rsidRPr="00A17BAA" w:rsidP="00A17BAA">
      <w:pPr>
        <w:pStyle w:val="ListBullet"/>
      </w:pPr>
      <w:r w:rsidRPr="00A17BAA">
        <w:t>nature of batch materials and products used in job role</w:t>
      </w:r>
    </w:p>
    <w:p w:rsidR="00000000" w:rsidRPr="00A17BAA" w:rsidP="00A17BAA">
      <w:pPr>
        <w:pStyle w:val="ListBullet"/>
      </w:pPr>
      <w:r w:rsidRPr="00A17BAA">
        <w:t>properties of mixing materials and how they affect the properties of the final product</w:t>
      </w:r>
    </w:p>
    <w:p w:rsidR="00000000" w:rsidRPr="00A17BAA" w:rsidP="00A17BAA">
      <w:pPr>
        <w:pStyle w:val="ListBullet"/>
      </w:pPr>
      <w:r w:rsidRPr="00A17BAA">
        <w:t>principles and importance o</w:t>
      </w:r>
      <w:r w:rsidRPr="00A17BAA">
        <w:t>f representative sampling</w:t>
      </w:r>
    </w:p>
    <w:p w:rsidR="00000000" w:rsidRPr="00A17BAA" w:rsidP="00A17BAA">
      <w:pPr>
        <w:pStyle w:val="ListBullet"/>
      </w:pPr>
      <w:r w:rsidRPr="00A17BAA">
        <w:t>principles of the standard test methods and specifications used for evaluating batch materials in job role</w:t>
      </w:r>
    </w:p>
    <w:p w:rsidR="00000000" w:rsidRPr="00A17BAA" w:rsidP="00A17BAA">
      <w:pPr>
        <w:pStyle w:val="ListBullet"/>
      </w:pPr>
      <w:r w:rsidRPr="00A17BAA">
        <w:t>workplace traceability requirements</w:t>
      </w:r>
    </w:p>
    <w:p w:rsidR="00000000" w:rsidRPr="00A17BAA" w:rsidP="00A17BAA">
      <w:pPr>
        <w:pStyle w:val="ListBullet"/>
      </w:pPr>
      <w:r w:rsidRPr="00A17BAA">
        <w:t>typical problems:</w:t>
      </w:r>
    </w:p>
    <w:p w:rsidR="00000000" w:rsidRPr="00A17BAA" w:rsidP="00A17BAA">
      <w:pPr>
        <w:pStyle w:val="ListBullet2"/>
      </w:pPr>
      <w:r w:rsidRPr="00A17BAA">
        <w:t>not following standard operating procedures (SOPs)</w:t>
      </w:r>
    </w:p>
    <w:p w:rsidR="00000000" w:rsidRPr="00A17BAA" w:rsidP="00A17BAA">
      <w:pPr>
        <w:pStyle w:val="ListBullet2"/>
      </w:pPr>
      <w:r w:rsidRPr="00A17BAA">
        <w:t>measurement errors</w:t>
      </w:r>
    </w:p>
    <w:p w:rsidR="00000000" w:rsidRPr="00A17BAA" w:rsidP="00A17BAA">
      <w:pPr>
        <w:pStyle w:val="ListBullet2"/>
      </w:pPr>
      <w:r w:rsidRPr="00A17BAA">
        <w:t>calculation errors</w:t>
      </w:r>
    </w:p>
    <w:p w:rsidR="00000000" w:rsidRPr="00A17BAA" w:rsidP="00A17BAA">
      <w:pPr>
        <w:pStyle w:val="ListBullet2"/>
      </w:pPr>
      <w:r w:rsidRPr="00A17BAA">
        <w:t>materials of unreliable quality</w:t>
      </w:r>
    </w:p>
    <w:p w:rsidR="00000000" w:rsidRPr="00A17BAA" w:rsidP="00A17BAA">
      <w:pPr>
        <w:pStyle w:val="ListBullet2"/>
      </w:pPr>
      <w:r w:rsidRPr="00A17BAA">
        <w:t>insufficient mixing</w:t>
      </w:r>
    </w:p>
    <w:p w:rsidR="00000000" w:rsidRPr="00A17BAA" w:rsidP="00A17BAA">
      <w:pPr>
        <w:pStyle w:val="ListBullet2"/>
      </w:pPr>
      <w:r w:rsidRPr="00A17BAA">
        <w:t>poor sampling procedures</w:t>
      </w:r>
    </w:p>
    <w:p w:rsidR="00000000" w:rsidRPr="00A17BAA" w:rsidP="00A17BAA">
      <w:pPr>
        <w:pStyle w:val="ListBullet2"/>
      </w:pPr>
      <w:r w:rsidRPr="00A17BAA">
        <w:t>equipment breakdown and breakage</w:t>
      </w:r>
    </w:p>
    <w:p w:rsidR="00000000" w:rsidRPr="00A17BAA" w:rsidP="00A17BAA">
      <w:pPr>
        <w:pStyle w:val="ListBullet"/>
      </w:pPr>
      <w:r w:rsidRPr="00A17BAA">
        <w:t>awareness of environmental sustainability issues as they relate to the work task</w:t>
      </w:r>
    </w:p>
    <w:p w:rsidR="00000000" w:rsidRPr="00A17BAA" w:rsidP="00A17BAA">
      <w:pPr>
        <w:pStyle w:val="ListBullet"/>
      </w:pPr>
      <w:r w:rsidRPr="00A17BAA">
        <w:t>legal, ethical and work he</w:t>
      </w:r>
      <w:r w:rsidRPr="00A17BAA">
        <w:t xml:space="preserve">alth and safety (WHS) requirements specific to the work task. </w:t>
      </w:r>
    </w:p>
    <w:p w:rsidR="00000000" w:rsidRPr="00A17BAA" w:rsidP="00A17BAA">
      <w:pPr>
        <w:pStyle w:val="AllowPageBreak"/>
      </w:pPr>
    </w:p>
    <w:p w:rsidR="00000000" w:rsidRPr="00A17BAA" w:rsidP="00A17BAA">
      <w:pPr>
        <w:pStyle w:val="Heading1"/>
      </w:pPr>
      <w:bookmarkStart w:id="4" w:name="O_986345"/>
      <w:bookmarkEnd w:id="4"/>
      <w:r w:rsidRPr="00A17BAA">
        <w:t>Assessment Conditions</w:t>
      </w:r>
    </w:p>
    <w:p w:rsidR="00000000" w:rsidRPr="00A17BAA" w:rsidP="00A86D20">
      <w:pPr>
        <w:pStyle w:val="BodyText"/>
      </w:pPr>
      <w:r w:rsidRPr="00A17BAA">
        <w:t>Skills must have been demonstrated in the workplace or in a simulated environment that reflects workplace conditions and contingencies. The following cond</w:t>
      </w:r>
      <w:r w:rsidRPr="00A17BAA">
        <w:t xml:space="preserve">itions must be met for this unit: </w:t>
      </w:r>
    </w:p>
    <w:p w:rsidR="00000000" w:rsidRPr="00A17BAA" w:rsidP="00A17BAA">
      <w:pPr>
        <w:pStyle w:val="ListBullet"/>
      </w:pPr>
      <w:r w:rsidRPr="00A17BAA">
        <w:t xml:space="preserve">use of suitable facilities, equipment and resources, including: </w:t>
      </w:r>
    </w:p>
    <w:p w:rsidR="00000000" w:rsidRPr="00A17BAA" w:rsidP="00A17BAA">
      <w:pPr>
        <w:pStyle w:val="ListBullet2"/>
      </w:pPr>
      <w:r w:rsidRPr="00A17BAA">
        <w:t xml:space="preserve">a standard laboratory equipped with basic test equipment, common measuring instruments, materials, standard methods, workplace procedures, SDS </w:t>
      </w:r>
      <w:r w:rsidRPr="00A17BAA">
        <w:t>and equipment manuals</w:t>
      </w:r>
    </w:p>
    <w:p w:rsidR="00000000" w:rsidRPr="00A17BAA" w:rsidP="00A17BAA">
      <w:pPr>
        <w:pStyle w:val="ListBullet2"/>
      </w:pPr>
      <w:r w:rsidRPr="00A17BAA">
        <w:t>samples</w:t>
      </w:r>
    </w:p>
    <w:p w:rsidR="00000000" w:rsidRPr="00A17BAA" w:rsidP="00A17BAA">
      <w:pPr>
        <w:pStyle w:val="ListBullet2"/>
      </w:pPr>
      <w:r w:rsidRPr="00A17BAA">
        <w:t>laboratory equipment, such as ovens; sieves; balances; volumetric measures and mixers; hand tools, shovels, scoops and spatulas; and consumables, including sample bags and labels</w:t>
      </w:r>
    </w:p>
    <w:p w:rsidR="00000000" w:rsidRPr="00A17BAA" w:rsidP="00A17BAA">
      <w:pPr>
        <w:pStyle w:val="ListBullet2"/>
      </w:pPr>
      <w:r w:rsidRPr="00A17BAA">
        <w:t xml:space="preserve">laboratory documentation: batch specifications </w:t>
      </w:r>
      <w:r w:rsidRPr="00A17BAA">
        <w:t>and work instructions.</w:t>
      </w:r>
    </w:p>
    <w:p w:rsidR="00000000" w:rsidRPr="00A17BAA" w:rsidP="00A86D20">
      <w:pPr>
        <w:pStyle w:val="BodyText"/>
      </w:pPr>
      <w:r w:rsidRPr="00A17BAA">
        <w:br/>
        <w:t>Assessors must satisfy the NVR/AQTF mandatory competency requirements for assessors.</w:t>
      </w:r>
    </w:p>
    <w:p w:rsidR="00000000" w:rsidRPr="00A17BAA" w:rsidP="00A17BAA">
      <w:pPr>
        <w:pStyle w:val="AllowPageBreak"/>
      </w:pPr>
    </w:p>
    <w:p w:rsidR="00000000" w:rsidRPr="00A17BAA" w:rsidP="00A17BAA">
      <w:pPr>
        <w:pStyle w:val="Heading1"/>
      </w:pPr>
      <w:bookmarkStart w:id="5" w:name="O_986343"/>
      <w:bookmarkEnd w:id="5"/>
      <w:r w:rsidRPr="00A17BAA">
        <w:t>Links</w:t>
      </w:r>
    </w:p>
    <w:p w:rsidR="00000000" w:rsidRPr="00A17BAA" w:rsidP="00A86D20">
      <w:pPr>
        <w:pStyle w:val="BodyText"/>
      </w:pPr>
      <w:r w:rsidRPr="00A17BA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806B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17BAA" w:rsidP="00A17BAA"/>
    <w:sectPr w:rsidSect="00A17B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A" w:rsidRPr="00A86D20" w:rsidP="00A86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D20" w:rsidP="00A17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D20" w:rsidP="00A17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6D20" w:rsidP="00A17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BAA" w:rsidRPr="00A86D20" w:rsidP="00A86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D20" w:rsidRPr="002D2AF8" w:rsidP="00A17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MSL973018 Prepare trial batches for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86D20" w:rsidP="00A17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85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F21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16A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BAA"/>
  </w:style>
  <w:style w:type="character" w:customStyle="1" w:styleId="Heading1Char">
    <w:name w:val="Heading 1 Char"/>
    <w:basedOn w:val="DefaultParagraphFont"/>
    <w:link w:val="Heading1"/>
    <w:rsid w:val="00A17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B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B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BAA"/>
    <w:rPr>
      <w:b/>
      <w:spacing w:val="0"/>
    </w:rPr>
  </w:style>
  <w:style w:type="paragraph" w:styleId="ListBullet2">
    <w:name w:val="List Bullet 2"/>
    <w:basedOn w:val="List2"/>
    <w:rsid w:val="00A17B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BAA"/>
    <w:rPr>
      <w:i/>
    </w:rPr>
  </w:style>
  <w:style w:type="paragraph" w:customStyle="1" w:styleId="SuperHeading">
    <w:name w:val="SuperHeading"/>
    <w:basedOn w:val="Normal"/>
    <w:rsid w:val="00A17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B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B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BAA"/>
  </w:style>
  <w:style w:type="paragraph" w:styleId="TableofFigures">
    <w:name w:val="table of figures"/>
    <w:basedOn w:val="Normal"/>
    <w:next w:val="Normal"/>
    <w:semiHidden/>
    <w:rsid w:val="00A17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B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BAA"/>
    <w:rPr>
      <w:rFonts w:ascii="Wingdings" w:hAnsi="Wingdings"/>
    </w:rPr>
  </w:style>
  <w:style w:type="paragraph" w:customStyle="1" w:styleId="TableHeading">
    <w:name w:val="Table Heading"/>
    <w:basedOn w:val="HeadingBase"/>
    <w:rsid w:val="00A17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BAA"/>
    <w:rPr>
      <w:color w:val="0033CC"/>
      <w:u w:val="none"/>
    </w:rPr>
  </w:style>
  <w:style w:type="paragraph" w:customStyle="1" w:styleId="BodyTextRight">
    <w:name w:val="Body Text Right"/>
    <w:basedOn w:val="BodyText"/>
    <w:rsid w:val="00A17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B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BAA"/>
    <w:rPr>
      <w:sz w:val="32"/>
    </w:rPr>
  </w:style>
  <w:style w:type="paragraph" w:customStyle="1" w:styleId="HeadingProcedure">
    <w:name w:val="Heading Procedure"/>
    <w:basedOn w:val="HeadingBase"/>
    <w:next w:val="Normal"/>
    <w:rsid w:val="00A17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BAA"/>
    <w:pPr>
      <w:spacing w:before="60" w:after="60"/>
    </w:pPr>
  </w:style>
  <w:style w:type="paragraph" w:styleId="ListContinue">
    <w:name w:val="List Continue"/>
    <w:basedOn w:val="List"/>
    <w:rsid w:val="00A17BAA"/>
    <w:pPr>
      <w:ind w:firstLine="0"/>
    </w:pPr>
  </w:style>
  <w:style w:type="paragraph" w:customStyle="1" w:styleId="ListNote">
    <w:name w:val="List Note"/>
    <w:basedOn w:val="List"/>
    <w:rsid w:val="00A17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BAA"/>
    <w:rPr>
      <w:rFonts w:ascii="Courier New" w:hAnsi="Courier New"/>
    </w:rPr>
  </w:style>
  <w:style w:type="paragraph" w:customStyle="1" w:styleId="NoteBullet">
    <w:name w:val="Note Bullet"/>
    <w:basedOn w:val="Note"/>
    <w:rsid w:val="00A17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B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BAA"/>
    <w:rPr>
      <w:b/>
      <w:smallCaps/>
    </w:rPr>
  </w:style>
  <w:style w:type="paragraph" w:customStyle="1" w:styleId="TableListNumber">
    <w:name w:val="Table List Number"/>
    <w:basedOn w:val="ListNumber"/>
    <w:rsid w:val="00A17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BAA"/>
    <w:pPr>
      <w:numPr>
        <w:numId w:val="9"/>
      </w:numPr>
    </w:pPr>
  </w:style>
  <w:style w:type="paragraph" w:customStyle="1" w:styleId="ListAlpha2">
    <w:name w:val="List Alpha 2"/>
    <w:basedOn w:val="List2"/>
    <w:rsid w:val="00A17BAA"/>
    <w:pPr>
      <w:numPr>
        <w:numId w:val="8"/>
      </w:numPr>
    </w:pPr>
  </w:style>
  <w:style w:type="paragraph" w:styleId="List2">
    <w:name w:val="List 2"/>
    <w:basedOn w:val="BodyText"/>
    <w:rsid w:val="00A17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B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B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BAA"/>
    <w:pPr>
      <w:numPr>
        <w:numId w:val="4"/>
      </w:numPr>
    </w:pPr>
  </w:style>
  <w:style w:type="paragraph" w:styleId="ListContinue2">
    <w:name w:val="List Continue 2"/>
    <w:basedOn w:val="List2"/>
    <w:rsid w:val="00A17BAA"/>
    <w:pPr>
      <w:ind w:firstLine="0"/>
    </w:pPr>
  </w:style>
  <w:style w:type="paragraph" w:styleId="ListContinue3">
    <w:name w:val="List Continue 3"/>
    <w:basedOn w:val="List3"/>
    <w:rsid w:val="00A17BAA"/>
    <w:pPr>
      <w:ind w:left="1021" w:firstLine="0"/>
    </w:pPr>
  </w:style>
  <w:style w:type="paragraph" w:styleId="ListContinue4">
    <w:name w:val="List Continue 4"/>
    <w:basedOn w:val="List4"/>
    <w:rsid w:val="00A17BAA"/>
    <w:pPr>
      <w:ind w:firstLine="0"/>
    </w:pPr>
  </w:style>
  <w:style w:type="paragraph" w:styleId="ListContinue5">
    <w:name w:val="List Continue 5"/>
    <w:basedOn w:val="List5"/>
    <w:rsid w:val="00A17BAA"/>
    <w:pPr>
      <w:ind w:firstLine="0"/>
    </w:pPr>
  </w:style>
  <w:style w:type="paragraph" w:styleId="ListNumber3">
    <w:name w:val="List Number 3"/>
    <w:basedOn w:val="List3"/>
    <w:rsid w:val="00A17BAA"/>
    <w:pPr>
      <w:numPr>
        <w:numId w:val="5"/>
      </w:numPr>
    </w:pPr>
  </w:style>
  <w:style w:type="paragraph" w:styleId="ListNumber4">
    <w:name w:val="List Number 4"/>
    <w:basedOn w:val="List4"/>
    <w:rsid w:val="00A17BAA"/>
    <w:pPr>
      <w:numPr>
        <w:numId w:val="6"/>
      </w:numPr>
    </w:pPr>
  </w:style>
  <w:style w:type="paragraph" w:styleId="ListNumber5">
    <w:name w:val="List Number 5"/>
    <w:basedOn w:val="List5"/>
    <w:rsid w:val="00A17BAA"/>
    <w:pPr>
      <w:numPr>
        <w:numId w:val="7"/>
      </w:numPr>
    </w:pPr>
  </w:style>
  <w:style w:type="paragraph" w:styleId="BlockText">
    <w:name w:val="Block Text"/>
    <w:basedOn w:val="Normal"/>
    <w:rsid w:val="00A17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BAA"/>
    <w:rPr>
      <w:sz w:val="16"/>
      <w:vertAlign w:val="superscript"/>
    </w:rPr>
  </w:style>
  <w:style w:type="character" w:customStyle="1" w:styleId="Symbols">
    <w:name w:val="Symbols"/>
    <w:basedOn w:val="DefaultParagraphFont"/>
    <w:rsid w:val="00A17BAA"/>
    <w:rPr>
      <w:rFonts w:ascii="Symbol" w:hAnsi="Symbol"/>
    </w:rPr>
  </w:style>
  <w:style w:type="character" w:customStyle="1" w:styleId="MenuOptions">
    <w:name w:val="Menu Options"/>
    <w:basedOn w:val="DefaultParagraphFont"/>
    <w:rsid w:val="00A17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BAA"/>
    <w:rPr>
      <w:b/>
    </w:rPr>
  </w:style>
  <w:style w:type="character" w:customStyle="1" w:styleId="Underlined">
    <w:name w:val="Underlined"/>
    <w:basedOn w:val="DefaultParagraphFont"/>
    <w:rsid w:val="00A17BAA"/>
    <w:rPr>
      <w:u w:val="single"/>
    </w:rPr>
  </w:style>
  <w:style w:type="paragraph" w:customStyle="1" w:styleId="TableBodyTextRight">
    <w:name w:val="Table Body Text Right"/>
    <w:basedOn w:val="TableBodyText"/>
    <w:rsid w:val="00A17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BAA"/>
    <w:rPr>
      <w:sz w:val="18"/>
    </w:rPr>
  </w:style>
  <w:style w:type="paragraph" w:customStyle="1" w:styleId="BodySmallRight">
    <w:name w:val="Body Small Right"/>
    <w:basedOn w:val="BodyTextRight"/>
    <w:rsid w:val="00A17BAA"/>
    <w:rPr>
      <w:sz w:val="18"/>
      <w:szCs w:val="18"/>
    </w:rPr>
  </w:style>
  <w:style w:type="paragraph" w:customStyle="1" w:styleId="MarginEdition">
    <w:name w:val="Margin Edition"/>
    <w:basedOn w:val="MarginNote"/>
    <w:rsid w:val="00A17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BAA"/>
    <w:rPr>
      <w:sz w:val="2"/>
      <w:szCs w:val="2"/>
    </w:rPr>
  </w:style>
  <w:style w:type="character" w:customStyle="1" w:styleId="Small">
    <w:name w:val="Small"/>
    <w:basedOn w:val="DefaultParagraphFont"/>
    <w:rsid w:val="00A17BAA"/>
    <w:rPr>
      <w:sz w:val="16"/>
    </w:rPr>
  </w:style>
  <w:style w:type="paragraph" w:customStyle="1" w:styleId="WideTable">
    <w:name w:val="Wide Table"/>
    <w:basedOn w:val="Normal"/>
    <w:rsid w:val="00A17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BAA"/>
  </w:style>
  <w:style w:type="paragraph" w:styleId="Quote">
    <w:name w:val="Quote"/>
    <w:basedOn w:val="Heading1"/>
    <w:link w:val="QuoteChar"/>
    <w:qFormat/>
    <w:rsid w:val="00A17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BAA"/>
    <w:pPr>
      <w:pageBreakBefore/>
    </w:pPr>
  </w:style>
  <w:style w:type="paragraph" w:customStyle="1" w:styleId="Border">
    <w:name w:val="Border"/>
    <w:basedOn w:val="Normal"/>
    <w:qFormat/>
    <w:rsid w:val="00A17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BAA"/>
    <w:rPr>
      <w:u w:val="single"/>
    </w:rPr>
  </w:style>
  <w:style w:type="character" w:customStyle="1" w:styleId="BoldandItalics">
    <w:name w:val="Bold and Italics"/>
    <w:qFormat/>
    <w:rsid w:val="00A17BAA"/>
    <w:rPr>
      <w:b/>
      <w:i/>
      <w:u w:val="none"/>
    </w:rPr>
  </w:style>
  <w:style w:type="paragraph" w:styleId="BalloonText">
    <w:name w:val="Balloon Text"/>
    <w:basedOn w:val="Normal"/>
    <w:link w:val="BalloonTextChar"/>
    <w:rsid w:val="00A17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BAA"/>
    <w:pPr>
      <w:spacing w:before="0" w:after="0"/>
    </w:pPr>
  </w:style>
  <w:style w:type="paragraph" w:customStyle="1" w:styleId="BodyTextBold">
    <w:name w:val="Body Text Bold"/>
    <w:basedOn w:val="BodyText"/>
    <w:qFormat/>
    <w:rsid w:val="00A17BAA"/>
    <w:rPr>
      <w:b/>
    </w:rPr>
  </w:style>
  <w:style w:type="character" w:styleId="Hyperlink">
    <w:name w:val="Hyperlink"/>
    <w:basedOn w:val="DefaultParagraphFont"/>
    <w:uiPriority w:val="99"/>
    <w:unhideWhenUsed/>
    <w:rsid w:val="00A86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2567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MSL973018 Prepare trial batches for evaluation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