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A13" w:rsidP="00FD6A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MSL973016 Perform aseptic techniques</w:t>
      </w:r>
      <w:r>
        <w:fldChar w:fldCharType="end"/>
      </w:r>
    </w:p>
    <w:p w:rsidR="00FD6A13" w:rsidP="00FD6A13">
      <w:pPr>
        <w:pStyle w:val="Version"/>
        <w:sectPr w:rsidSect="00ED3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1DF" w:rsidP="00ED31DF">
      <w:pPr>
        <w:pStyle w:val="SuperHeading"/>
      </w:pPr>
      <w:r w:rsidRPr="00ED31DF">
        <w:t>MSL973016 Perform aseptic techniques</w:t>
      </w:r>
    </w:p>
    <w:p w:rsidR="00000000" w:rsidRPr="00ED31DF" w:rsidP="00ED31DF">
      <w:pPr>
        <w:pStyle w:val="Heading1"/>
      </w:pPr>
      <w:bookmarkStart w:id="1" w:name="O_986314"/>
      <w:bookmarkEnd w:id="1"/>
      <w:r w:rsidRPr="00ED31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31DF" w:rsidP="00ED31DF">
            <w:pPr>
              <w:pStyle w:val="BodyText"/>
            </w:pPr>
            <w:r w:rsidRPr="00ED31DF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rPr>
                <w:rStyle w:val="SpecialBold"/>
              </w:rPr>
              <w:t>Comments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1DF" w:rsidP="00ED31DF">
            <w:pPr>
              <w:pStyle w:val="BodyText"/>
            </w:pPr>
            <w:r w:rsidRPr="00ED31DF">
              <w:t xml:space="preserve">This version was released in </w:t>
            </w:r>
            <w:r w:rsidRPr="00ED31DF">
              <w:rPr>
                <w:rStyle w:val="Emphasis"/>
              </w:rPr>
              <w:t>MSL Laboratory Operations Training Package Release 2.0.</w:t>
            </w:r>
          </w:p>
          <w:p w:rsidR="00000000" w:rsidRPr="00ED31DF" w:rsidP="00ED31DF">
            <w:pPr>
              <w:pStyle w:val="BodyText"/>
            </w:pPr>
            <w:r w:rsidRPr="00ED31DF">
              <w:t>Supersedes and equivalent to MSL973004 Perform aseptic techniques. Changes to performance criteria. Range of conditions re</w:t>
            </w:r>
            <w:r w:rsidRPr="00ED31DF">
              <w:t>moved. Assessment requirements amended.</w:t>
            </w:r>
          </w:p>
        </w:tc>
      </w:tr>
    </w:tbl>
    <w:p w:rsidR="00000000" w:rsidRPr="00ED31DF" w:rsidP="00ED31DF">
      <w:pPr>
        <w:pStyle w:val="BodyText"/>
      </w:pPr>
    </w:p>
    <w:p w:rsidR="00000000" w:rsidRPr="00ED31DF" w:rsidP="00ED31DF">
      <w:pPr>
        <w:pStyle w:val="AllowPageBreak"/>
      </w:pPr>
    </w:p>
    <w:p w:rsidR="00000000" w:rsidRPr="00ED31DF" w:rsidP="00ED31DF">
      <w:pPr>
        <w:pStyle w:val="Heading1"/>
      </w:pPr>
      <w:bookmarkStart w:id="2" w:name="O_986320"/>
      <w:bookmarkEnd w:id="2"/>
      <w:r w:rsidRPr="00ED31DF">
        <w:t>Application</w:t>
      </w:r>
    </w:p>
    <w:p w:rsidR="00000000" w:rsidRPr="00ED31DF" w:rsidP="00FD6A13">
      <w:pPr>
        <w:pStyle w:val="BodyText"/>
      </w:pPr>
      <w:r w:rsidRPr="00ED31DF">
        <w:t>This unit of competency describes the skills and knowledge to perform aseptic techniques to maintain the integrity of both the sample source and the sample. It applies to sampling techn</w:t>
      </w:r>
      <w:r w:rsidRPr="00ED31DF">
        <w:t>iques in tissue culture and to generic microbiological procedures.</w:t>
      </w:r>
    </w:p>
    <w:p w:rsidR="00000000" w:rsidRPr="00ED31DF" w:rsidP="00FD6A13">
      <w:pPr>
        <w:pStyle w:val="BodyText"/>
      </w:pPr>
      <w:r w:rsidRPr="00ED31DF">
        <w:t>This unit of competency applies to laboratory assistants and technicians working in the field or laboratory in the biomedical, biological, food processing and environmental industry sector</w:t>
      </w:r>
      <w:r w:rsidRPr="00ED31DF">
        <w:t>s.</w:t>
      </w:r>
    </w:p>
    <w:p w:rsidR="00000000" w:rsidRPr="00ED31DF" w:rsidP="00FD6A13">
      <w:pPr>
        <w:pStyle w:val="BodyText"/>
      </w:pPr>
      <w:r w:rsidRPr="00ED31DF">
        <w:t>No licensing or certification requirements exist at the time of publication. However, regulations and/or external accreditation requirements for laboratory operations exist, so local requirements should be checked. Rel</w:t>
      </w:r>
      <w:r w:rsidRPr="00ED31DF">
        <w:t>evant legislation, industry standards and codes of practice within Australia must also be applied.</w:t>
      </w:r>
    </w:p>
    <w:p w:rsidR="00000000" w:rsidRPr="00ED31DF" w:rsidP="00ED31DF">
      <w:pPr>
        <w:pStyle w:val="Heading1"/>
      </w:pPr>
      <w:bookmarkStart w:id="3" w:name="O_986319"/>
      <w:bookmarkEnd w:id="3"/>
      <w:r w:rsidRPr="00ED31DF">
        <w:t>Pre-requisite Unit</w:t>
      </w:r>
    </w:p>
    <w:p w:rsidR="00000000" w:rsidRPr="00ED31DF" w:rsidP="00FD6A13">
      <w:pPr>
        <w:pStyle w:val="BodyText"/>
      </w:pPr>
      <w:r w:rsidRPr="00ED31DF">
        <w:t>Nil</w:t>
      </w:r>
    </w:p>
    <w:p w:rsidR="00000000" w:rsidRPr="00ED31DF" w:rsidP="00ED31DF">
      <w:pPr>
        <w:pStyle w:val="Heading1"/>
      </w:pPr>
      <w:bookmarkStart w:id="4" w:name="O_986318"/>
      <w:bookmarkEnd w:id="4"/>
      <w:r w:rsidRPr="00ED31DF">
        <w:t>Competency Field</w:t>
      </w:r>
    </w:p>
    <w:p w:rsidR="00000000" w:rsidRPr="00ED31DF" w:rsidP="00FD6A13">
      <w:pPr>
        <w:pStyle w:val="BodyText"/>
      </w:pPr>
      <w:r w:rsidRPr="00ED31DF">
        <w:t>Testing</w:t>
      </w:r>
    </w:p>
    <w:p w:rsidR="00000000" w:rsidRPr="00ED31DF" w:rsidP="00ED31DF">
      <w:pPr>
        <w:pStyle w:val="Heading1"/>
      </w:pPr>
      <w:bookmarkStart w:id="5" w:name="O_986317"/>
      <w:bookmarkEnd w:id="5"/>
      <w:r w:rsidRPr="00ED31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Elements describe the es</w:t>
            </w:r>
            <w:r w:rsidRPr="00ED31DF">
              <w:t>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Performance criteria describe the performance needed to demonstrate achievement of the element.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1DF" w:rsidP="00ED31DF">
            <w:pPr>
              <w:pStyle w:val="BodyText"/>
            </w:pPr>
            <w:r w:rsidRPr="00ED31D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rPr>
                <w:rStyle w:val="SpecialBold"/>
              </w:rPr>
              <w:t>Prepare for aseptic sampling or transfer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Check the sampling procedure conforms with the required sampling plan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Use specified personal protective equipment (PPE)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Prepare the work area for safe and effective sample transfer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Select equipment and materials specified by the procedure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Organise equipment to minimise contamination during manipulations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Label containers for clear identification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Record details in relevant log or database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Macroscopically assess media and/or reagents to confirm sterility before use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1DF" w:rsidP="00ED31DF">
            <w:pPr>
              <w:pStyle w:val="BodyText"/>
            </w:pPr>
            <w:r w:rsidRPr="00ED31D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rPr>
                <w:rStyle w:val="SpecialBold"/>
              </w:rPr>
              <w:t>Transfer materials aseptically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Protect the integrity of the sample source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Sterilise inoculating loops and/or pipette where used to prevent contamination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Perform transfer while minimising opportunities for contamination and cross-infection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 xml:space="preserve">Protect the integrity of the sample source and destination after transfer, and before sealing the transport or culture vessel 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Re-sterilise inoculating loops, minimising the generation of aerosols as required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Perform quality control checks to</w:t>
            </w:r>
            <w:r w:rsidRPr="00ED31DF">
              <w:t xml:space="preserve"> confirm aseptic transfer was successful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Label transport or culture vessels for clear identification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1DF" w:rsidP="00ED31DF">
            <w:pPr>
              <w:pStyle w:val="BodyText"/>
            </w:pPr>
            <w:r w:rsidRPr="00ED31D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rPr>
                <w:rStyle w:val="SpecialBold"/>
              </w:rPr>
              <w:t xml:space="preserve">Maintain work area and equipment to prevent cross-infection and </w:t>
            </w:r>
            <w:r w:rsidRPr="00ED31DF">
              <w:rPr>
                <w:rStyle w:val="SpecialBold"/>
              </w:rPr>
              <w:t>contamination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Place disposable and reusable items into relevant receptacles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Clean and disinfect work area and equipment after use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 xml:space="preserve">Transport disposable and reusable contaminated </w:t>
            </w:r>
            <w:r w:rsidRPr="00ED31DF">
              <w:t>materials to relevant areas for disinfection, sterilisation and cleaning or disposal</w:t>
            </w:r>
          </w:p>
        </w:tc>
      </w:tr>
      <w:tr w:rsidTr="00ED3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DF">
            <w:pPr>
              <w:pStyle w:val="BodyText"/>
              <w:rPr>
                <w:lang w:val="en-NZ"/>
              </w:rPr>
            </w:pPr>
            <w:r w:rsidRPr="00ED31D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1DF" w:rsidP="00ED31DF">
            <w:pPr>
              <w:pStyle w:val="BodyText"/>
            </w:pPr>
            <w:r w:rsidRPr="00ED31DF">
              <w:t>Follow personal hygiene procedures</w:t>
            </w:r>
          </w:p>
        </w:tc>
      </w:tr>
    </w:tbl>
    <w:p w:rsidR="00000000" w:rsidRPr="00ED31DF" w:rsidP="00ED31DF">
      <w:pPr>
        <w:pStyle w:val="BodyText"/>
      </w:pPr>
    </w:p>
    <w:p w:rsidR="00000000" w:rsidRPr="00ED31DF" w:rsidP="00ED31DF">
      <w:pPr>
        <w:pStyle w:val="AllowPageBreak"/>
      </w:pPr>
    </w:p>
    <w:p w:rsidR="00000000" w:rsidRPr="00ED31DF" w:rsidP="00ED31DF">
      <w:pPr>
        <w:pStyle w:val="Heading1"/>
      </w:pPr>
      <w:bookmarkStart w:id="6" w:name="O_986316"/>
      <w:bookmarkEnd w:id="6"/>
      <w:r w:rsidRPr="00ED31DF">
        <w:t>Foundation Skills</w:t>
      </w:r>
    </w:p>
    <w:p w:rsidR="00000000" w:rsidRPr="00ED31DF" w:rsidP="00FD6A13">
      <w:pPr>
        <w:pStyle w:val="BodyText"/>
      </w:pPr>
      <w:r w:rsidRPr="00ED31DF">
        <w:t>This section describes those language, literacy, numeracy and employment skills that are essential to performance.</w:t>
      </w:r>
    </w:p>
    <w:p w:rsidR="00000000" w:rsidRPr="00ED31DF" w:rsidP="00FD6A13">
      <w:pPr>
        <w:pStyle w:val="BodyText"/>
      </w:pPr>
      <w:r w:rsidRPr="00ED31DF">
        <w:t>Foundation skills essential to performance are explicit in the performance criteria of this unit of competency.</w:t>
      </w:r>
    </w:p>
    <w:p w:rsidR="00000000" w:rsidRPr="00ED31DF" w:rsidP="00ED31DF">
      <w:pPr>
        <w:pStyle w:val="Heading1"/>
      </w:pPr>
      <w:bookmarkStart w:id="7" w:name="O_986315"/>
      <w:bookmarkEnd w:id="7"/>
      <w:r w:rsidRPr="00ED31DF">
        <w:t>Unit Mapping Information</w:t>
      </w:r>
    </w:p>
    <w:p w:rsidR="00000000" w:rsidRPr="00ED31DF" w:rsidP="00FD6A13">
      <w:pPr>
        <w:pStyle w:val="BodyText"/>
      </w:pPr>
      <w:r w:rsidRPr="00ED31DF">
        <w:t>Equivalent to MSL973004 Perform aseptic techniques, Release 1.</w:t>
      </w:r>
    </w:p>
    <w:p w:rsidR="00000000" w:rsidRPr="00ED31DF" w:rsidP="00ED31DF">
      <w:pPr>
        <w:pStyle w:val="Heading1"/>
      </w:pPr>
      <w:bookmarkStart w:id="8" w:name="O_986308"/>
      <w:bookmarkEnd w:id="8"/>
      <w:r w:rsidRPr="00ED31DF">
        <w:t>Links</w:t>
      </w:r>
    </w:p>
    <w:p w:rsidR="00000000" w:rsidRPr="00ED31DF" w:rsidP="00FD6A13">
      <w:pPr>
        <w:pStyle w:val="BodyText"/>
      </w:pPr>
      <w:r w:rsidRPr="00ED31DF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54DC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D31DF" w:rsidP="00ED31DF"/>
    <w:sectPr w:rsidSect="00ED3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DF" w:rsidRPr="00FD6A13" w:rsidP="00FD6A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13" w:rsidP="00ED3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A13" w:rsidP="00ED3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D6A13" w:rsidP="00ED3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1DF" w:rsidRPr="00FD6A13" w:rsidP="00FD6A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13" w:rsidRPr="002D2AF8" w:rsidP="00ED3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MSL973016 Perform aseptic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D6A13" w:rsidP="00ED3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1DF"/>
  </w:style>
  <w:style w:type="character" w:customStyle="1" w:styleId="Heading1Char">
    <w:name w:val="Heading 1 Char"/>
    <w:basedOn w:val="DefaultParagraphFont"/>
    <w:link w:val="Heading1"/>
    <w:rsid w:val="00ED3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1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D31DF"/>
    <w:rPr>
      <w:b/>
      <w:spacing w:val="0"/>
    </w:rPr>
  </w:style>
  <w:style w:type="character" w:styleId="Emphasis">
    <w:name w:val="Emphasis"/>
    <w:basedOn w:val="DefaultParagraphFont"/>
    <w:qFormat/>
    <w:rsid w:val="00ED31DF"/>
    <w:rPr>
      <w:i/>
    </w:rPr>
  </w:style>
  <w:style w:type="paragraph" w:customStyle="1" w:styleId="SuperHeading">
    <w:name w:val="SuperHeading"/>
    <w:basedOn w:val="Normal"/>
    <w:rsid w:val="00ED3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1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31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3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31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3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1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3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1DF"/>
  </w:style>
  <w:style w:type="paragraph" w:styleId="TableofFigures">
    <w:name w:val="table of figures"/>
    <w:basedOn w:val="Normal"/>
    <w:next w:val="Normal"/>
    <w:semiHidden/>
    <w:rsid w:val="00ED3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1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31DF"/>
    <w:rPr>
      <w:rFonts w:ascii="Wingdings" w:hAnsi="Wingdings"/>
    </w:rPr>
  </w:style>
  <w:style w:type="paragraph" w:customStyle="1" w:styleId="TableHeading">
    <w:name w:val="Table Heading"/>
    <w:basedOn w:val="HeadingBase"/>
    <w:rsid w:val="00ED3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1DF"/>
    <w:rPr>
      <w:color w:val="0033CC"/>
      <w:u w:val="none"/>
    </w:rPr>
  </w:style>
  <w:style w:type="paragraph" w:customStyle="1" w:styleId="BodyTextRight">
    <w:name w:val="Body Text Right"/>
    <w:basedOn w:val="BodyText"/>
    <w:rsid w:val="00ED3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1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1DF"/>
    <w:rPr>
      <w:sz w:val="32"/>
    </w:rPr>
  </w:style>
  <w:style w:type="paragraph" w:customStyle="1" w:styleId="HeadingProcedure">
    <w:name w:val="Heading Procedure"/>
    <w:basedOn w:val="HeadingBase"/>
    <w:next w:val="Normal"/>
    <w:rsid w:val="00ED3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1DF"/>
    <w:pPr>
      <w:spacing w:before="60" w:after="60"/>
    </w:pPr>
  </w:style>
  <w:style w:type="paragraph" w:styleId="ListContinue">
    <w:name w:val="List Continue"/>
    <w:basedOn w:val="List"/>
    <w:rsid w:val="00ED31DF"/>
    <w:pPr>
      <w:ind w:firstLine="0"/>
    </w:pPr>
  </w:style>
  <w:style w:type="paragraph" w:customStyle="1" w:styleId="ListNote">
    <w:name w:val="List Note"/>
    <w:basedOn w:val="List"/>
    <w:rsid w:val="00ED3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1DF"/>
    <w:rPr>
      <w:rFonts w:ascii="Courier New" w:hAnsi="Courier New"/>
    </w:rPr>
  </w:style>
  <w:style w:type="paragraph" w:customStyle="1" w:styleId="NoteBullet">
    <w:name w:val="Note Bullet"/>
    <w:basedOn w:val="Note"/>
    <w:rsid w:val="00ED3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1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3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1DF"/>
    <w:rPr>
      <w:b/>
      <w:smallCaps/>
    </w:rPr>
  </w:style>
  <w:style w:type="paragraph" w:customStyle="1" w:styleId="TableListNumber">
    <w:name w:val="Table List Number"/>
    <w:basedOn w:val="ListNumber"/>
    <w:rsid w:val="00ED3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1DF"/>
    <w:pPr>
      <w:numPr>
        <w:numId w:val="7"/>
      </w:numPr>
    </w:pPr>
  </w:style>
  <w:style w:type="paragraph" w:customStyle="1" w:styleId="ListAlpha2">
    <w:name w:val="List Alpha 2"/>
    <w:basedOn w:val="List2"/>
    <w:rsid w:val="00ED31DF"/>
    <w:pPr>
      <w:numPr>
        <w:numId w:val="6"/>
      </w:numPr>
    </w:pPr>
  </w:style>
  <w:style w:type="paragraph" w:styleId="List2">
    <w:name w:val="List 2"/>
    <w:basedOn w:val="BodyText"/>
    <w:rsid w:val="00ED3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1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1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31DF"/>
    <w:pPr>
      <w:numPr>
        <w:numId w:val="2"/>
      </w:numPr>
    </w:pPr>
  </w:style>
  <w:style w:type="paragraph" w:styleId="ListContinue2">
    <w:name w:val="List Continue 2"/>
    <w:basedOn w:val="List2"/>
    <w:rsid w:val="00ED31DF"/>
    <w:pPr>
      <w:ind w:firstLine="0"/>
    </w:pPr>
  </w:style>
  <w:style w:type="paragraph" w:styleId="ListContinue3">
    <w:name w:val="List Continue 3"/>
    <w:basedOn w:val="List3"/>
    <w:rsid w:val="00ED31DF"/>
    <w:pPr>
      <w:ind w:left="1021" w:firstLine="0"/>
    </w:pPr>
  </w:style>
  <w:style w:type="paragraph" w:styleId="ListContinue4">
    <w:name w:val="List Continue 4"/>
    <w:basedOn w:val="List4"/>
    <w:rsid w:val="00ED31DF"/>
    <w:pPr>
      <w:ind w:firstLine="0"/>
    </w:pPr>
  </w:style>
  <w:style w:type="paragraph" w:styleId="ListContinue5">
    <w:name w:val="List Continue 5"/>
    <w:basedOn w:val="List5"/>
    <w:rsid w:val="00ED31DF"/>
    <w:pPr>
      <w:ind w:firstLine="0"/>
    </w:pPr>
  </w:style>
  <w:style w:type="paragraph" w:styleId="ListNumber3">
    <w:name w:val="List Number 3"/>
    <w:basedOn w:val="List3"/>
    <w:rsid w:val="00ED31DF"/>
    <w:pPr>
      <w:numPr>
        <w:numId w:val="3"/>
      </w:numPr>
    </w:pPr>
  </w:style>
  <w:style w:type="paragraph" w:styleId="ListNumber4">
    <w:name w:val="List Number 4"/>
    <w:basedOn w:val="List4"/>
    <w:rsid w:val="00ED31DF"/>
    <w:pPr>
      <w:numPr>
        <w:numId w:val="4"/>
      </w:numPr>
    </w:pPr>
  </w:style>
  <w:style w:type="paragraph" w:styleId="ListNumber5">
    <w:name w:val="List Number 5"/>
    <w:basedOn w:val="List5"/>
    <w:rsid w:val="00ED31DF"/>
    <w:pPr>
      <w:numPr>
        <w:numId w:val="5"/>
      </w:numPr>
    </w:pPr>
  </w:style>
  <w:style w:type="paragraph" w:styleId="BlockText">
    <w:name w:val="Block Text"/>
    <w:basedOn w:val="Normal"/>
    <w:rsid w:val="00ED3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1DF"/>
    <w:rPr>
      <w:sz w:val="16"/>
      <w:vertAlign w:val="superscript"/>
    </w:rPr>
  </w:style>
  <w:style w:type="character" w:customStyle="1" w:styleId="Symbols">
    <w:name w:val="Symbols"/>
    <w:basedOn w:val="DefaultParagraphFont"/>
    <w:rsid w:val="00ED31DF"/>
    <w:rPr>
      <w:rFonts w:ascii="Symbol" w:hAnsi="Symbol"/>
    </w:rPr>
  </w:style>
  <w:style w:type="character" w:customStyle="1" w:styleId="MenuOptions">
    <w:name w:val="Menu Options"/>
    <w:basedOn w:val="DefaultParagraphFont"/>
    <w:rsid w:val="00ED3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1DF"/>
    <w:rPr>
      <w:b/>
    </w:rPr>
  </w:style>
  <w:style w:type="character" w:customStyle="1" w:styleId="Underlined">
    <w:name w:val="Underlined"/>
    <w:basedOn w:val="DefaultParagraphFont"/>
    <w:rsid w:val="00ED31DF"/>
    <w:rPr>
      <w:u w:val="single"/>
    </w:rPr>
  </w:style>
  <w:style w:type="paragraph" w:customStyle="1" w:styleId="TableBodyTextRight">
    <w:name w:val="Table Body Text Right"/>
    <w:basedOn w:val="TableBodyText"/>
    <w:rsid w:val="00ED3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1DF"/>
    <w:rPr>
      <w:sz w:val="18"/>
    </w:rPr>
  </w:style>
  <w:style w:type="paragraph" w:customStyle="1" w:styleId="BodySmallRight">
    <w:name w:val="Body Small Right"/>
    <w:basedOn w:val="BodyTextRight"/>
    <w:rsid w:val="00ED31DF"/>
    <w:rPr>
      <w:sz w:val="18"/>
      <w:szCs w:val="18"/>
    </w:rPr>
  </w:style>
  <w:style w:type="paragraph" w:customStyle="1" w:styleId="MarginEdition">
    <w:name w:val="Margin Edition"/>
    <w:basedOn w:val="MarginNote"/>
    <w:rsid w:val="00ED3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1DF"/>
    <w:rPr>
      <w:sz w:val="2"/>
      <w:szCs w:val="2"/>
    </w:rPr>
  </w:style>
  <w:style w:type="character" w:customStyle="1" w:styleId="Small">
    <w:name w:val="Small"/>
    <w:basedOn w:val="DefaultParagraphFont"/>
    <w:rsid w:val="00ED31DF"/>
    <w:rPr>
      <w:sz w:val="16"/>
    </w:rPr>
  </w:style>
  <w:style w:type="paragraph" w:customStyle="1" w:styleId="WideTable">
    <w:name w:val="Wide Table"/>
    <w:basedOn w:val="Normal"/>
    <w:rsid w:val="00ED3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1DF"/>
  </w:style>
  <w:style w:type="paragraph" w:styleId="Quote">
    <w:name w:val="Quote"/>
    <w:basedOn w:val="Heading1"/>
    <w:link w:val="QuoteChar"/>
    <w:qFormat/>
    <w:rsid w:val="00ED3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1DF"/>
    <w:pPr>
      <w:pageBreakBefore/>
    </w:pPr>
  </w:style>
  <w:style w:type="paragraph" w:customStyle="1" w:styleId="Border">
    <w:name w:val="Border"/>
    <w:basedOn w:val="Normal"/>
    <w:qFormat/>
    <w:rsid w:val="00ED3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1DF"/>
    <w:rPr>
      <w:u w:val="single"/>
    </w:rPr>
  </w:style>
  <w:style w:type="character" w:customStyle="1" w:styleId="BoldandItalics">
    <w:name w:val="Bold and Italics"/>
    <w:qFormat/>
    <w:rsid w:val="00ED31DF"/>
    <w:rPr>
      <w:b/>
      <w:i/>
      <w:u w:val="none"/>
    </w:rPr>
  </w:style>
  <w:style w:type="paragraph" w:styleId="BalloonText">
    <w:name w:val="Balloon Text"/>
    <w:basedOn w:val="Normal"/>
    <w:link w:val="BalloonTextChar"/>
    <w:rsid w:val="00ED3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1DF"/>
    <w:pPr>
      <w:spacing w:before="0" w:after="0"/>
    </w:pPr>
  </w:style>
  <w:style w:type="paragraph" w:customStyle="1" w:styleId="BodyTextBold">
    <w:name w:val="Body Text Bold"/>
    <w:basedOn w:val="BodyText"/>
    <w:qFormat/>
    <w:rsid w:val="00ED31DF"/>
    <w:rPr>
      <w:b/>
    </w:rPr>
  </w:style>
  <w:style w:type="character" w:styleId="Hyperlink">
    <w:name w:val="Hyperlink"/>
    <w:basedOn w:val="DefaultParagraphFont"/>
    <w:uiPriority w:val="99"/>
    <w:unhideWhenUsed/>
    <w:rsid w:val="00FD6A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3167</Characters>
  <Application>Microsoft Office Word</Application>
  <DocSecurity>0</DocSecurity>
  <Lines>166</Lines>
  <Paragraphs>86</Paragraphs>
  <ScaleCrop>false</ScaleCrop>
  <Company>Author-it Software Corporation Ltd.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MSL973016 Perform aseptic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2025-02-21T06:50:00Z</dcterms:created>
  <dcterms:modified xsi:type="dcterms:W3CDTF">2025-02-21T06:50:00Z</dcterms:modified>
</cp:coreProperties>
</file>