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5BC" w:rsidP="00BE4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MSL973016 Perform aseptic techniques</w:t>
      </w:r>
      <w:r>
        <w:fldChar w:fldCharType="end"/>
      </w:r>
    </w:p>
    <w:p w:rsidR="00BE45BC" w:rsidP="00BE45BC">
      <w:pPr>
        <w:pStyle w:val="Version"/>
        <w:sectPr w:rsidSect="003B6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4B2" w:rsidP="003B64B2">
      <w:pPr>
        <w:pStyle w:val="SuperHeading"/>
      </w:pPr>
      <w:r w:rsidRPr="003B64B2">
        <w:t>Assessment Requirements for MSL973016 Perform aseptic techniques</w:t>
      </w:r>
    </w:p>
    <w:p w:rsidR="00000000" w:rsidRPr="003B64B2" w:rsidP="003B64B2">
      <w:pPr>
        <w:pStyle w:val="Heading1"/>
      </w:pPr>
      <w:bookmarkStart w:id="1" w:name="O_986310"/>
      <w:bookmarkEnd w:id="1"/>
      <w:r w:rsidRPr="003B64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B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64B2" w:rsidP="003B64B2">
            <w:pPr>
              <w:pStyle w:val="BodyText"/>
            </w:pPr>
            <w:r w:rsidRPr="003B64B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4B2">
            <w:pPr>
              <w:pStyle w:val="BodyText"/>
              <w:rPr>
                <w:lang w:val="en-NZ"/>
              </w:rPr>
            </w:pPr>
            <w:r w:rsidRPr="003B64B2">
              <w:rPr>
                <w:rStyle w:val="SpecialBold"/>
              </w:rPr>
              <w:t>Comments</w:t>
            </w:r>
          </w:p>
        </w:tc>
      </w:tr>
      <w:tr w:rsidTr="003B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4B2">
            <w:pPr>
              <w:pStyle w:val="BodyText"/>
              <w:rPr>
                <w:lang w:val="en-NZ"/>
              </w:rPr>
            </w:pPr>
            <w:r w:rsidRPr="003B64B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4B2" w:rsidP="003B64B2">
            <w:pPr>
              <w:pStyle w:val="BodyText"/>
            </w:pPr>
            <w:r w:rsidRPr="003B64B2">
              <w:t xml:space="preserve">This version was released in </w:t>
            </w:r>
            <w:r w:rsidRPr="003B64B2">
              <w:rPr>
                <w:rStyle w:val="Emphasis"/>
              </w:rPr>
              <w:t>MSL Laboratory Operations Training Package Release 2.0.</w:t>
            </w:r>
          </w:p>
          <w:p w:rsidR="00000000" w:rsidRPr="003B64B2" w:rsidP="003B64B2">
            <w:pPr>
              <w:pStyle w:val="BodyText"/>
            </w:pPr>
            <w:r w:rsidRPr="003B64B2">
              <w:t>Supersedes and equivale</w:t>
            </w:r>
            <w:r w:rsidRPr="003B64B2">
              <w:t>nt to MSL973004 Perform aseptic techniques. Changes to performance criteria. Range of conditions removed. Assessment requirements amended.</w:t>
            </w:r>
          </w:p>
        </w:tc>
      </w:tr>
    </w:tbl>
    <w:p w:rsidR="00000000" w:rsidRPr="003B64B2" w:rsidP="003B64B2">
      <w:pPr>
        <w:pStyle w:val="BodyText"/>
      </w:pPr>
    </w:p>
    <w:p w:rsidR="00000000" w:rsidRPr="003B64B2" w:rsidP="003B64B2">
      <w:pPr>
        <w:pStyle w:val="AllowPageBreak"/>
      </w:pPr>
    </w:p>
    <w:p w:rsidR="00000000" w:rsidRPr="003B64B2" w:rsidP="003B64B2">
      <w:pPr>
        <w:pStyle w:val="Heading1"/>
      </w:pPr>
      <w:bookmarkStart w:id="2" w:name="O_986313"/>
      <w:bookmarkEnd w:id="2"/>
      <w:r w:rsidRPr="003B64B2">
        <w:t>Performance Evidence</w:t>
      </w:r>
    </w:p>
    <w:p w:rsidR="00000000" w:rsidRPr="003B64B2" w:rsidP="00BE45BC">
      <w:pPr>
        <w:pStyle w:val="BodyText"/>
      </w:pPr>
      <w:r w:rsidRPr="003B64B2">
        <w:t xml:space="preserve">There must be evidence the candidate has completed the tasks outlined in the </w:t>
      </w:r>
      <w:r w:rsidRPr="003B64B2">
        <w:t>elements and performance criteria of this unit, and:</w:t>
      </w:r>
    </w:p>
    <w:p w:rsidR="00000000" w:rsidRPr="003B64B2" w:rsidP="003B64B2">
      <w:pPr>
        <w:pStyle w:val="ListBullet"/>
      </w:pPr>
      <w:r w:rsidRPr="003B64B2">
        <w:t>safely and effectively performed aseptic techniques when performing at least 3 different types of sample transfers from the following list:</w:t>
      </w:r>
    </w:p>
    <w:p w:rsidR="00000000" w:rsidRPr="003B64B2" w:rsidP="003B64B2">
      <w:pPr>
        <w:pStyle w:val="ListBullet2"/>
      </w:pPr>
      <w:r w:rsidRPr="003B64B2">
        <w:t>body fluids (or simulated body fluids)</w:t>
      </w:r>
    </w:p>
    <w:p w:rsidR="00000000" w:rsidRPr="003B64B2" w:rsidP="003B64B2">
      <w:pPr>
        <w:pStyle w:val="ListBullet2"/>
      </w:pPr>
      <w:r w:rsidRPr="003B64B2">
        <w:t>sterile liquid culture media</w:t>
      </w:r>
    </w:p>
    <w:p w:rsidR="00000000" w:rsidRPr="003B64B2" w:rsidP="003B64B2">
      <w:pPr>
        <w:pStyle w:val="ListBullet2"/>
      </w:pPr>
      <w:r w:rsidRPr="003B64B2">
        <w:t>water</w:t>
      </w:r>
    </w:p>
    <w:p w:rsidR="00000000" w:rsidRPr="003B64B2" w:rsidP="003B64B2">
      <w:pPr>
        <w:pStyle w:val="ListBullet2"/>
      </w:pPr>
      <w:r w:rsidRPr="003B64B2">
        <w:t>soil</w:t>
      </w:r>
    </w:p>
    <w:p w:rsidR="00000000" w:rsidRPr="003B64B2" w:rsidP="003B64B2">
      <w:pPr>
        <w:pStyle w:val="ListBullet2"/>
      </w:pPr>
      <w:r w:rsidRPr="003B64B2">
        <w:t>sterile pharmaceuticals</w:t>
      </w:r>
    </w:p>
    <w:p w:rsidR="00000000" w:rsidRPr="003B64B2" w:rsidP="003B64B2">
      <w:pPr>
        <w:pStyle w:val="ListBullet2"/>
      </w:pPr>
      <w:r w:rsidRPr="003B64B2">
        <w:t>yeasts and moulds</w:t>
      </w:r>
    </w:p>
    <w:p w:rsidR="00000000" w:rsidRPr="003B64B2" w:rsidP="003B64B2">
      <w:pPr>
        <w:pStyle w:val="ListBullet2"/>
      </w:pPr>
      <w:r w:rsidRPr="003B64B2">
        <w:t>milk and yoghurt</w:t>
      </w:r>
    </w:p>
    <w:p w:rsidR="00000000" w:rsidRPr="003B64B2" w:rsidP="003B64B2">
      <w:pPr>
        <w:pStyle w:val="ListBullet2"/>
      </w:pPr>
      <w:r w:rsidRPr="003B64B2">
        <w:t>swabs and smears</w:t>
      </w:r>
    </w:p>
    <w:p w:rsidR="00000000" w:rsidRPr="003B64B2" w:rsidP="003B64B2">
      <w:pPr>
        <w:pStyle w:val="ListBullet2"/>
      </w:pPr>
      <w:r w:rsidRPr="003B64B2">
        <w:t>propagation tissue</w:t>
      </w:r>
    </w:p>
    <w:p w:rsidR="00000000" w:rsidRPr="003B64B2" w:rsidP="003B64B2">
      <w:pPr>
        <w:pStyle w:val="ListBullet2"/>
      </w:pPr>
      <w:r w:rsidRPr="003B64B2">
        <w:t>plant material</w:t>
      </w:r>
    </w:p>
    <w:p w:rsidR="00000000" w:rsidRPr="003B64B2" w:rsidP="003B64B2">
      <w:pPr>
        <w:pStyle w:val="ListBullet2"/>
      </w:pPr>
      <w:r w:rsidRPr="003B64B2">
        <w:t xml:space="preserve">fermented foods </w:t>
      </w:r>
    </w:p>
    <w:p w:rsidR="00000000" w:rsidRPr="003B64B2" w:rsidP="003B64B2">
      <w:pPr>
        <w:pStyle w:val="ListBullet2"/>
      </w:pPr>
      <w:r w:rsidRPr="003B64B2">
        <w:t>fermented beverages</w:t>
      </w:r>
    </w:p>
    <w:p w:rsidR="00000000" w:rsidRPr="003B64B2" w:rsidP="003B64B2">
      <w:pPr>
        <w:pStyle w:val="ListBullet2"/>
      </w:pPr>
      <w:r w:rsidRPr="003B64B2">
        <w:t>bacterial cultures.</w:t>
      </w:r>
    </w:p>
    <w:p w:rsidR="00000000" w:rsidRPr="003B64B2" w:rsidP="003B64B2">
      <w:pPr>
        <w:pStyle w:val="AllowPageBreak"/>
      </w:pPr>
    </w:p>
    <w:p w:rsidR="00000000" w:rsidRPr="003B64B2" w:rsidP="003B64B2">
      <w:pPr>
        <w:pStyle w:val="Heading1"/>
      </w:pPr>
      <w:bookmarkStart w:id="3" w:name="O_986312"/>
      <w:bookmarkEnd w:id="3"/>
      <w:r w:rsidRPr="003B64B2">
        <w:t>Knowledge Evidence</w:t>
      </w:r>
    </w:p>
    <w:p w:rsidR="00000000" w:rsidRPr="003B64B2" w:rsidP="00BE45BC">
      <w:pPr>
        <w:pStyle w:val="BodyText"/>
      </w:pPr>
      <w:r w:rsidRPr="003B64B2">
        <w:t>The</w:t>
      </w:r>
      <w:r w:rsidRPr="003B64B2">
        <w:t>re must be evidence the candidate has knowledge of:</w:t>
      </w:r>
    </w:p>
    <w:p w:rsidR="00000000" w:rsidRPr="003B64B2" w:rsidP="003B64B2">
      <w:pPr>
        <w:pStyle w:val="ListBullet"/>
      </w:pPr>
      <w:r w:rsidRPr="003B64B2">
        <w:t>growth requirements of microorganisms including bacteria and fungi in terms of their laboratory culture</w:t>
      </w:r>
    </w:p>
    <w:p w:rsidR="00000000" w:rsidRPr="003B64B2" w:rsidP="003B64B2">
      <w:pPr>
        <w:pStyle w:val="ListBullet"/>
      </w:pPr>
      <w:r w:rsidRPr="003B64B2">
        <w:t>relationship between sterile practices, hygiene procedures and the ability to obtain growth free of</w:t>
      </w:r>
      <w:r w:rsidRPr="003B64B2">
        <w:t xml:space="preserve"> contamination</w:t>
      </w:r>
    </w:p>
    <w:p w:rsidR="00000000" w:rsidRPr="003B64B2" w:rsidP="003B64B2">
      <w:pPr>
        <w:pStyle w:val="ListBullet"/>
      </w:pPr>
      <w:r w:rsidRPr="003B64B2">
        <w:t>relationship between sterile practices and accurate test results</w:t>
      </w:r>
    </w:p>
    <w:p w:rsidR="00000000" w:rsidRPr="003B64B2" w:rsidP="003B64B2">
      <w:pPr>
        <w:pStyle w:val="ListBullet"/>
      </w:pPr>
      <w:r w:rsidRPr="003B64B2">
        <w:t>importance of pure culture techniques and aseptic transfer to the successful microbiological investigation and correct interpretation of laboratory results</w:t>
      </w:r>
    </w:p>
    <w:p w:rsidR="00000000" w:rsidRPr="003B64B2" w:rsidP="003B64B2">
      <w:pPr>
        <w:pStyle w:val="ListBullet"/>
      </w:pPr>
      <w:r w:rsidRPr="003B64B2">
        <w:t>cleaning and sanitis</w:t>
      </w:r>
      <w:r w:rsidRPr="003B64B2">
        <w:t>ing requirements of equipment and work area, and effects of physical and chemical agents on microbial growth and death</w:t>
      </w:r>
    </w:p>
    <w:p w:rsidR="00000000" w:rsidRPr="003B64B2" w:rsidP="003B64B2">
      <w:pPr>
        <w:pStyle w:val="ListBullet"/>
      </w:pPr>
      <w:r w:rsidRPr="003B64B2">
        <w:t>sterilisation techniques:</w:t>
      </w:r>
    </w:p>
    <w:p w:rsidR="00000000" w:rsidRPr="003B64B2" w:rsidP="003B64B2">
      <w:pPr>
        <w:pStyle w:val="ListBullet2"/>
      </w:pPr>
      <w:r w:rsidRPr="003B64B2">
        <w:t>flaming</w:t>
      </w:r>
    </w:p>
    <w:p w:rsidR="00000000" w:rsidRPr="003B64B2" w:rsidP="003B64B2">
      <w:pPr>
        <w:pStyle w:val="ListBullet2"/>
      </w:pPr>
      <w:r w:rsidRPr="003B64B2">
        <w:t>high temperature, boiling and autoclaving</w:t>
      </w:r>
    </w:p>
    <w:p w:rsidR="00000000" w:rsidRPr="003B64B2" w:rsidP="003B64B2">
      <w:pPr>
        <w:pStyle w:val="ListBullet2"/>
      </w:pPr>
      <w:r w:rsidRPr="003B64B2">
        <w:t>membrane filtration</w:t>
      </w:r>
    </w:p>
    <w:p w:rsidR="00000000" w:rsidRPr="003B64B2" w:rsidP="003B64B2">
      <w:pPr>
        <w:pStyle w:val="ListBullet2"/>
      </w:pPr>
      <w:r w:rsidRPr="003B64B2">
        <w:t>radiation, gas and/or chemical treatment</w:t>
      </w:r>
      <w:r w:rsidRPr="003B64B2">
        <w:t>s</w:t>
      </w:r>
    </w:p>
    <w:p w:rsidR="00000000" w:rsidRPr="003B64B2" w:rsidP="003B64B2">
      <w:pPr>
        <w:pStyle w:val="ListBullet"/>
      </w:pPr>
      <w:r w:rsidRPr="003B64B2">
        <w:t>disinfection and sterilisation procedures used in the collection, processing and safe disposal of samples and materials</w:t>
      </w:r>
    </w:p>
    <w:p w:rsidR="00000000" w:rsidRPr="003B64B2" w:rsidP="003B64B2">
      <w:pPr>
        <w:pStyle w:val="ListBullet"/>
      </w:pPr>
      <w:r w:rsidRPr="003B64B2">
        <w:t>principles of infection control related to work health and safety (WHS), and sampling and transfer of materials in microbiological in</w:t>
      </w:r>
      <w:r w:rsidRPr="003B64B2">
        <w:t>vestigations including how to minimise the generation of aerosols when flaming</w:t>
      </w:r>
    </w:p>
    <w:p w:rsidR="00000000" w:rsidRPr="003B64B2" w:rsidP="003B64B2">
      <w:pPr>
        <w:pStyle w:val="ListBullet"/>
      </w:pPr>
      <w:r w:rsidRPr="003B64B2">
        <w:t>relevant hazards and how to deal with the risks presented:</w:t>
      </w:r>
    </w:p>
    <w:p w:rsidR="00000000" w:rsidRPr="003B64B2" w:rsidP="003B64B2">
      <w:pPr>
        <w:pStyle w:val="ListBullet2"/>
      </w:pPr>
      <w:r w:rsidRPr="003B64B2">
        <w:t>injuries from sharps, burners, molten agar</w:t>
      </w:r>
    </w:p>
    <w:p w:rsidR="00000000" w:rsidRPr="003B64B2" w:rsidP="003B64B2">
      <w:pPr>
        <w:pStyle w:val="ListBullet2"/>
      </w:pPr>
      <w:r w:rsidRPr="003B64B2">
        <w:t>ultraviolet (UV) light sources</w:t>
      </w:r>
    </w:p>
    <w:p w:rsidR="00000000" w:rsidRPr="003B64B2" w:rsidP="003B64B2">
      <w:pPr>
        <w:pStyle w:val="ListBullet2"/>
      </w:pPr>
      <w:r w:rsidRPr="003B64B2">
        <w:t>exposure to hazardous substances and/or infectious agents</w:t>
      </w:r>
    </w:p>
    <w:p w:rsidR="00000000" w:rsidRPr="003B64B2" w:rsidP="003B64B2">
      <w:pPr>
        <w:pStyle w:val="ListBullet"/>
      </w:pPr>
      <w:r w:rsidRPr="003B64B2">
        <w:t xml:space="preserve">awareness of environmental sustainability issues as they relate to the work task </w:t>
      </w:r>
    </w:p>
    <w:p w:rsidR="00000000" w:rsidRPr="003B64B2" w:rsidP="003B64B2">
      <w:pPr>
        <w:pStyle w:val="ListBullet"/>
      </w:pPr>
      <w:r w:rsidRPr="003B64B2">
        <w:t xml:space="preserve">legal, ethical and WHS requirements specific to the work task. </w:t>
      </w:r>
    </w:p>
    <w:p w:rsidR="00000000" w:rsidRPr="003B64B2" w:rsidP="003B64B2">
      <w:pPr>
        <w:pStyle w:val="AllowPageBreak"/>
      </w:pPr>
    </w:p>
    <w:p w:rsidR="00000000" w:rsidRPr="003B64B2" w:rsidP="003B64B2">
      <w:pPr>
        <w:pStyle w:val="Heading1"/>
      </w:pPr>
      <w:bookmarkStart w:id="4" w:name="O_986311"/>
      <w:bookmarkEnd w:id="4"/>
      <w:r w:rsidRPr="003B64B2">
        <w:t>Assessment Conditions</w:t>
      </w:r>
    </w:p>
    <w:p w:rsidR="00000000" w:rsidRPr="003B64B2" w:rsidP="00BE45BC">
      <w:pPr>
        <w:pStyle w:val="BodyText"/>
      </w:pPr>
      <w:r w:rsidRPr="003B64B2">
        <w:t xml:space="preserve">Skills must </w:t>
      </w:r>
      <w:r w:rsidRPr="003B64B2">
        <w:t xml:space="preserve">have been demonstrated in the workplace or in a simulated environment that reflects workplace conditions and contingencies. The following conditions must be met for this unit: </w:t>
      </w:r>
    </w:p>
    <w:p w:rsidR="00000000" w:rsidRPr="003B64B2" w:rsidP="003B64B2">
      <w:pPr>
        <w:pStyle w:val="ListBullet"/>
      </w:pPr>
      <w:r w:rsidRPr="003B64B2">
        <w:t xml:space="preserve">use of suitable facilities, equipment and resources, including: </w:t>
      </w:r>
    </w:p>
    <w:p w:rsidR="00000000" w:rsidRPr="003B64B2" w:rsidP="003B64B2">
      <w:pPr>
        <w:pStyle w:val="ListBullet2"/>
      </w:pPr>
      <w:r w:rsidRPr="003B64B2">
        <w:t>a standard l</w:t>
      </w:r>
      <w:r w:rsidRPr="003B64B2">
        <w:t>aboratory</w:t>
      </w:r>
    </w:p>
    <w:p w:rsidR="00000000" w:rsidRPr="003B64B2" w:rsidP="003B64B2">
      <w:pPr>
        <w:pStyle w:val="ListBullet2"/>
      </w:pPr>
      <w:r w:rsidRPr="003B64B2">
        <w:t>test samples</w:t>
      </w:r>
    </w:p>
    <w:p w:rsidR="00000000" w:rsidRPr="003B64B2" w:rsidP="003B64B2">
      <w:pPr>
        <w:pStyle w:val="ListBullet2"/>
      </w:pPr>
      <w:r w:rsidRPr="003B64B2">
        <w:t>appropriate equipment, including:</w:t>
      </w:r>
    </w:p>
    <w:p w:rsidR="00000000" w:rsidRPr="003B64B2" w:rsidP="003B64B2">
      <w:pPr>
        <w:pStyle w:val="ListBullet3"/>
      </w:pPr>
      <w:r w:rsidRPr="003B64B2">
        <w:t>transfer equipment, such as inoculating loops, pipettes (quantitative and qualitative), flasks, tubes and spatulas</w:t>
      </w:r>
    </w:p>
    <w:p w:rsidR="00000000" w:rsidRPr="003B64B2" w:rsidP="003B64B2">
      <w:pPr>
        <w:pStyle w:val="ListBullet3"/>
      </w:pPr>
      <w:r w:rsidRPr="003B64B2">
        <w:t>Sterilisation equipment such as bunsen burners, bench incinerators, autoclave and/or pressure cooker</w:t>
      </w:r>
    </w:p>
    <w:p w:rsidR="00000000" w:rsidRPr="003B64B2" w:rsidP="003B64B2">
      <w:pPr>
        <w:pStyle w:val="ListBullet3"/>
      </w:pPr>
      <w:r w:rsidRPr="003B64B2">
        <w:t>Storage equipment such as incubators, water baths, refrigerators, freezers, anaerobic jars as required</w:t>
      </w:r>
    </w:p>
    <w:p w:rsidR="00000000" w:rsidRPr="003B64B2" w:rsidP="003B64B2">
      <w:pPr>
        <w:pStyle w:val="ListBullet3"/>
      </w:pPr>
      <w:r w:rsidRPr="003B64B2">
        <w:t>laminar flow units or biohazard cabinets as required</w:t>
      </w:r>
    </w:p>
    <w:p w:rsidR="00000000" w:rsidRPr="003B64B2" w:rsidP="003B64B2">
      <w:pPr>
        <w:pStyle w:val="ListBullet3"/>
      </w:pPr>
      <w:r w:rsidRPr="003B64B2">
        <w:t>swabs</w:t>
      </w:r>
    </w:p>
    <w:p w:rsidR="00000000" w:rsidRPr="003B64B2" w:rsidP="003B64B2">
      <w:pPr>
        <w:pStyle w:val="ListBullet2"/>
      </w:pPr>
      <w:r w:rsidRPr="003B64B2">
        <w:t>appropriate materials, including:</w:t>
      </w:r>
    </w:p>
    <w:p w:rsidR="00000000" w:rsidRPr="003B64B2" w:rsidP="003B64B2">
      <w:pPr>
        <w:pStyle w:val="ListBullet3"/>
      </w:pPr>
      <w:r w:rsidRPr="003B64B2">
        <w:t>solid and/or liquid media</w:t>
      </w:r>
    </w:p>
    <w:p w:rsidR="00000000" w:rsidRPr="003B64B2" w:rsidP="003B64B2">
      <w:pPr>
        <w:pStyle w:val="ListBullet3"/>
      </w:pPr>
      <w:r w:rsidRPr="003B64B2">
        <w:t>disinfecting and sterilising agents</w:t>
      </w:r>
    </w:p>
    <w:p w:rsidR="00000000" w:rsidRPr="003B64B2" w:rsidP="003B64B2">
      <w:pPr>
        <w:pStyle w:val="ListBullet3"/>
      </w:pPr>
      <w:r w:rsidRPr="003B64B2">
        <w:t>consumables</w:t>
      </w:r>
    </w:p>
    <w:p w:rsidR="00000000" w:rsidRPr="003B64B2" w:rsidP="003B64B2">
      <w:pPr>
        <w:pStyle w:val="ListBullet3"/>
      </w:pPr>
      <w:r w:rsidRPr="003B64B2">
        <w:t>receptacles for safe disposal of wastes and for processing of reusable materials</w:t>
      </w:r>
    </w:p>
    <w:p w:rsidR="00000000" w:rsidRPr="003B64B2" w:rsidP="003B64B2">
      <w:pPr>
        <w:pStyle w:val="ListBullet3"/>
      </w:pPr>
      <w:r w:rsidRPr="003B64B2">
        <w:t>bar coding material and labels</w:t>
      </w:r>
    </w:p>
    <w:p w:rsidR="00000000" w:rsidRPr="003B64B2" w:rsidP="003B64B2">
      <w:pPr>
        <w:pStyle w:val="ListBullet2"/>
      </w:pPr>
      <w:r w:rsidRPr="003B64B2">
        <w:t>workplace schedules, proce</w:t>
      </w:r>
      <w:r w:rsidRPr="003B64B2">
        <w:t>dures and standard methods, SDS and documented safe work practices.</w:t>
      </w:r>
    </w:p>
    <w:p w:rsidR="00000000" w:rsidRPr="003B64B2" w:rsidP="00BE45BC">
      <w:pPr>
        <w:pStyle w:val="BodyText"/>
      </w:pPr>
      <w:r w:rsidRPr="003B64B2">
        <w:br/>
        <w:t>Assessors must satisfy the NVR/AQTF mandatory competency requirements for assessors.</w:t>
      </w:r>
    </w:p>
    <w:p w:rsidR="00000000" w:rsidRPr="003B64B2" w:rsidP="003B64B2">
      <w:pPr>
        <w:pStyle w:val="AllowPageBreak"/>
      </w:pPr>
    </w:p>
    <w:p w:rsidR="00000000" w:rsidRPr="003B64B2" w:rsidP="003B64B2">
      <w:pPr>
        <w:pStyle w:val="Heading1"/>
      </w:pPr>
      <w:bookmarkStart w:id="5" w:name="O_986309"/>
      <w:bookmarkEnd w:id="5"/>
      <w:r w:rsidRPr="003B64B2">
        <w:t>Links</w:t>
      </w:r>
    </w:p>
    <w:p w:rsidR="00000000" w:rsidRPr="003B64B2" w:rsidP="00BE45BC">
      <w:pPr>
        <w:pStyle w:val="BodyText"/>
      </w:pPr>
      <w:r w:rsidRPr="003B64B2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45E3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B64B2" w:rsidP="003B64B2"/>
    <w:sectPr w:rsidSect="003B64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B2" w:rsidRPr="00BE45BC" w:rsidP="00BE4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BC" w:rsidP="003B6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5BC" w:rsidP="003B6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45BC" w:rsidP="003B6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4B2" w:rsidRPr="00BE45BC" w:rsidP="00BE4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BC" w:rsidRPr="002D2AF8" w:rsidP="003B6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MSL973016 Perform aseptic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E45BC" w:rsidP="003B6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A602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88F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24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4B2"/>
  </w:style>
  <w:style w:type="character" w:customStyle="1" w:styleId="Heading1Char">
    <w:name w:val="Heading 1 Char"/>
    <w:basedOn w:val="DefaultParagraphFont"/>
    <w:link w:val="Heading1"/>
    <w:rsid w:val="003B6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4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4B2"/>
    <w:rPr>
      <w:b/>
      <w:spacing w:val="0"/>
    </w:rPr>
  </w:style>
  <w:style w:type="paragraph" w:styleId="ListBullet2">
    <w:name w:val="List Bullet 2"/>
    <w:basedOn w:val="List2"/>
    <w:rsid w:val="003B64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4B2"/>
    <w:rPr>
      <w:i/>
    </w:rPr>
  </w:style>
  <w:style w:type="paragraph" w:customStyle="1" w:styleId="SuperHeading">
    <w:name w:val="SuperHeading"/>
    <w:basedOn w:val="Normal"/>
    <w:rsid w:val="003B6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64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6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4B2"/>
  </w:style>
  <w:style w:type="paragraph" w:styleId="TableofFigures">
    <w:name w:val="table of figures"/>
    <w:basedOn w:val="Normal"/>
    <w:next w:val="Normal"/>
    <w:semiHidden/>
    <w:rsid w:val="003B6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4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64B2"/>
    <w:rPr>
      <w:rFonts w:ascii="Wingdings" w:hAnsi="Wingdings"/>
    </w:rPr>
  </w:style>
  <w:style w:type="paragraph" w:customStyle="1" w:styleId="TableHeading">
    <w:name w:val="Table Heading"/>
    <w:basedOn w:val="HeadingBase"/>
    <w:rsid w:val="003B6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4B2"/>
    <w:rPr>
      <w:color w:val="0033CC"/>
      <w:u w:val="none"/>
    </w:rPr>
  </w:style>
  <w:style w:type="paragraph" w:customStyle="1" w:styleId="BodyTextRight">
    <w:name w:val="Body Text Right"/>
    <w:basedOn w:val="BodyText"/>
    <w:rsid w:val="003B6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4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4B2"/>
    <w:rPr>
      <w:sz w:val="32"/>
    </w:rPr>
  </w:style>
  <w:style w:type="paragraph" w:customStyle="1" w:styleId="HeadingProcedure">
    <w:name w:val="Heading Procedure"/>
    <w:basedOn w:val="HeadingBase"/>
    <w:next w:val="Normal"/>
    <w:rsid w:val="003B6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4B2"/>
    <w:pPr>
      <w:spacing w:before="60" w:after="60"/>
    </w:pPr>
  </w:style>
  <w:style w:type="paragraph" w:styleId="ListContinue">
    <w:name w:val="List Continue"/>
    <w:basedOn w:val="List"/>
    <w:rsid w:val="003B64B2"/>
    <w:pPr>
      <w:ind w:firstLine="0"/>
    </w:pPr>
  </w:style>
  <w:style w:type="paragraph" w:customStyle="1" w:styleId="ListNote">
    <w:name w:val="List Note"/>
    <w:basedOn w:val="List"/>
    <w:rsid w:val="003B6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4B2"/>
    <w:rPr>
      <w:rFonts w:ascii="Courier New" w:hAnsi="Courier New"/>
    </w:rPr>
  </w:style>
  <w:style w:type="paragraph" w:customStyle="1" w:styleId="NoteBullet">
    <w:name w:val="Note Bullet"/>
    <w:basedOn w:val="Note"/>
    <w:rsid w:val="003B6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4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6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4B2"/>
    <w:rPr>
      <w:b/>
      <w:smallCaps/>
    </w:rPr>
  </w:style>
  <w:style w:type="paragraph" w:customStyle="1" w:styleId="TableListNumber">
    <w:name w:val="Table List Number"/>
    <w:basedOn w:val="ListNumber"/>
    <w:rsid w:val="003B6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4B2"/>
    <w:pPr>
      <w:numPr>
        <w:numId w:val="10"/>
      </w:numPr>
    </w:pPr>
  </w:style>
  <w:style w:type="paragraph" w:customStyle="1" w:styleId="ListAlpha2">
    <w:name w:val="List Alpha 2"/>
    <w:basedOn w:val="List2"/>
    <w:rsid w:val="003B64B2"/>
    <w:pPr>
      <w:numPr>
        <w:numId w:val="9"/>
      </w:numPr>
    </w:pPr>
  </w:style>
  <w:style w:type="paragraph" w:styleId="List2">
    <w:name w:val="List 2"/>
    <w:basedOn w:val="BodyText"/>
    <w:rsid w:val="003B6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4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64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64B2"/>
    <w:pPr>
      <w:numPr>
        <w:numId w:val="5"/>
      </w:numPr>
    </w:pPr>
  </w:style>
  <w:style w:type="paragraph" w:styleId="ListContinue2">
    <w:name w:val="List Continue 2"/>
    <w:basedOn w:val="List2"/>
    <w:rsid w:val="003B64B2"/>
    <w:pPr>
      <w:ind w:firstLine="0"/>
    </w:pPr>
  </w:style>
  <w:style w:type="paragraph" w:styleId="ListContinue3">
    <w:name w:val="List Continue 3"/>
    <w:basedOn w:val="List3"/>
    <w:rsid w:val="003B64B2"/>
    <w:pPr>
      <w:ind w:left="1021" w:firstLine="0"/>
    </w:pPr>
  </w:style>
  <w:style w:type="paragraph" w:styleId="ListContinue4">
    <w:name w:val="List Continue 4"/>
    <w:basedOn w:val="List4"/>
    <w:rsid w:val="003B64B2"/>
    <w:pPr>
      <w:ind w:firstLine="0"/>
    </w:pPr>
  </w:style>
  <w:style w:type="paragraph" w:styleId="ListContinue5">
    <w:name w:val="List Continue 5"/>
    <w:basedOn w:val="List5"/>
    <w:rsid w:val="003B64B2"/>
    <w:pPr>
      <w:ind w:firstLine="0"/>
    </w:pPr>
  </w:style>
  <w:style w:type="paragraph" w:styleId="ListNumber3">
    <w:name w:val="List Number 3"/>
    <w:basedOn w:val="List3"/>
    <w:rsid w:val="003B64B2"/>
    <w:pPr>
      <w:numPr>
        <w:numId w:val="6"/>
      </w:numPr>
    </w:pPr>
  </w:style>
  <w:style w:type="paragraph" w:styleId="ListNumber4">
    <w:name w:val="List Number 4"/>
    <w:basedOn w:val="List4"/>
    <w:rsid w:val="003B64B2"/>
    <w:pPr>
      <w:numPr>
        <w:numId w:val="7"/>
      </w:numPr>
    </w:pPr>
  </w:style>
  <w:style w:type="paragraph" w:styleId="ListNumber5">
    <w:name w:val="List Number 5"/>
    <w:basedOn w:val="List5"/>
    <w:rsid w:val="003B64B2"/>
    <w:pPr>
      <w:numPr>
        <w:numId w:val="8"/>
      </w:numPr>
    </w:pPr>
  </w:style>
  <w:style w:type="paragraph" w:styleId="BlockText">
    <w:name w:val="Block Text"/>
    <w:basedOn w:val="Normal"/>
    <w:rsid w:val="003B6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4B2"/>
    <w:rPr>
      <w:sz w:val="16"/>
      <w:vertAlign w:val="superscript"/>
    </w:rPr>
  </w:style>
  <w:style w:type="character" w:customStyle="1" w:styleId="Symbols">
    <w:name w:val="Symbols"/>
    <w:basedOn w:val="DefaultParagraphFont"/>
    <w:rsid w:val="003B64B2"/>
    <w:rPr>
      <w:rFonts w:ascii="Symbol" w:hAnsi="Symbol"/>
    </w:rPr>
  </w:style>
  <w:style w:type="character" w:customStyle="1" w:styleId="MenuOptions">
    <w:name w:val="Menu Options"/>
    <w:basedOn w:val="DefaultParagraphFont"/>
    <w:rsid w:val="003B6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4B2"/>
    <w:rPr>
      <w:b/>
    </w:rPr>
  </w:style>
  <w:style w:type="character" w:customStyle="1" w:styleId="Underlined">
    <w:name w:val="Underlined"/>
    <w:basedOn w:val="DefaultParagraphFont"/>
    <w:rsid w:val="003B64B2"/>
    <w:rPr>
      <w:u w:val="single"/>
    </w:rPr>
  </w:style>
  <w:style w:type="paragraph" w:customStyle="1" w:styleId="TableBodyTextRight">
    <w:name w:val="Table Body Text Right"/>
    <w:basedOn w:val="TableBodyText"/>
    <w:rsid w:val="003B6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4B2"/>
    <w:rPr>
      <w:sz w:val="18"/>
    </w:rPr>
  </w:style>
  <w:style w:type="paragraph" w:customStyle="1" w:styleId="BodySmallRight">
    <w:name w:val="Body Small Right"/>
    <w:basedOn w:val="BodyTextRight"/>
    <w:rsid w:val="003B64B2"/>
    <w:rPr>
      <w:sz w:val="18"/>
      <w:szCs w:val="18"/>
    </w:rPr>
  </w:style>
  <w:style w:type="paragraph" w:customStyle="1" w:styleId="MarginEdition">
    <w:name w:val="Margin Edition"/>
    <w:basedOn w:val="MarginNote"/>
    <w:rsid w:val="003B6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4B2"/>
    <w:rPr>
      <w:sz w:val="2"/>
      <w:szCs w:val="2"/>
    </w:rPr>
  </w:style>
  <w:style w:type="character" w:customStyle="1" w:styleId="Small">
    <w:name w:val="Small"/>
    <w:basedOn w:val="DefaultParagraphFont"/>
    <w:rsid w:val="003B64B2"/>
    <w:rPr>
      <w:sz w:val="16"/>
    </w:rPr>
  </w:style>
  <w:style w:type="paragraph" w:customStyle="1" w:styleId="WideTable">
    <w:name w:val="Wide Table"/>
    <w:basedOn w:val="Normal"/>
    <w:rsid w:val="003B6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4B2"/>
  </w:style>
  <w:style w:type="paragraph" w:styleId="Quote">
    <w:name w:val="Quote"/>
    <w:basedOn w:val="Heading1"/>
    <w:link w:val="QuoteChar"/>
    <w:qFormat/>
    <w:rsid w:val="003B6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4B2"/>
    <w:pPr>
      <w:pageBreakBefore/>
    </w:pPr>
  </w:style>
  <w:style w:type="paragraph" w:customStyle="1" w:styleId="Border">
    <w:name w:val="Border"/>
    <w:basedOn w:val="Normal"/>
    <w:qFormat/>
    <w:rsid w:val="003B6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4B2"/>
    <w:rPr>
      <w:u w:val="single"/>
    </w:rPr>
  </w:style>
  <w:style w:type="character" w:customStyle="1" w:styleId="BoldandItalics">
    <w:name w:val="Bold and Italics"/>
    <w:qFormat/>
    <w:rsid w:val="003B64B2"/>
    <w:rPr>
      <w:b/>
      <w:i/>
      <w:u w:val="none"/>
    </w:rPr>
  </w:style>
  <w:style w:type="paragraph" w:styleId="BalloonText">
    <w:name w:val="Balloon Text"/>
    <w:basedOn w:val="Normal"/>
    <w:link w:val="BalloonTextChar"/>
    <w:rsid w:val="003B6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4B2"/>
    <w:pPr>
      <w:spacing w:before="0" w:after="0"/>
    </w:pPr>
  </w:style>
  <w:style w:type="paragraph" w:customStyle="1" w:styleId="BodyTextBold">
    <w:name w:val="Body Text Bold"/>
    <w:basedOn w:val="BodyText"/>
    <w:qFormat/>
    <w:rsid w:val="003B64B2"/>
    <w:rPr>
      <w:b/>
    </w:rPr>
  </w:style>
  <w:style w:type="character" w:styleId="Hyperlink">
    <w:name w:val="Hyperlink"/>
    <w:basedOn w:val="DefaultParagraphFont"/>
    <w:uiPriority w:val="99"/>
    <w:unhideWhenUsed/>
    <w:rsid w:val="00BE4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3412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MSL973016 Perform aseptic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