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C35" w:rsidP="005B1C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MSL973015 Prepare culture media</w:t>
      </w:r>
      <w:r>
        <w:fldChar w:fldCharType="end"/>
      </w:r>
    </w:p>
    <w:p w:rsidR="005B1C35" w:rsidP="005B1C35">
      <w:pPr>
        <w:pStyle w:val="Version"/>
        <w:sectPr w:rsidSect="00EC1A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1A29" w:rsidP="00EC1A29">
      <w:pPr>
        <w:pStyle w:val="SuperHeading"/>
      </w:pPr>
      <w:r w:rsidRPr="00EC1A29">
        <w:t>MSL973015 Prepare culture media</w:t>
      </w:r>
    </w:p>
    <w:p w:rsidR="00000000" w:rsidRPr="00EC1A29" w:rsidP="00EC1A29">
      <w:pPr>
        <w:pStyle w:val="Heading1"/>
      </w:pPr>
      <w:bookmarkStart w:id="1" w:name="O_986297"/>
      <w:bookmarkEnd w:id="1"/>
      <w:r w:rsidRPr="00EC1A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EC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C1A29" w:rsidP="00EC1A29">
            <w:pPr>
              <w:pStyle w:val="BodyText"/>
            </w:pPr>
            <w:r w:rsidRPr="00EC1A29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rPr>
                <w:rStyle w:val="SpecialBold"/>
              </w:rPr>
              <w:t>Comments</w:t>
            </w:r>
          </w:p>
        </w:tc>
      </w:tr>
      <w:tr w:rsidTr="00EC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A29" w:rsidP="00EC1A29">
            <w:pPr>
              <w:pStyle w:val="BodyText"/>
            </w:pPr>
            <w:r w:rsidRPr="00EC1A29">
              <w:t xml:space="preserve">This version was released in </w:t>
            </w:r>
            <w:r w:rsidRPr="00EC1A29">
              <w:rPr>
                <w:rStyle w:val="Emphasis"/>
              </w:rPr>
              <w:t>MSL Laboratory Operations Training Package Release 2.0.</w:t>
            </w:r>
          </w:p>
          <w:p w:rsidR="00000000" w:rsidRPr="00EC1A29" w:rsidP="00EC1A29">
            <w:pPr>
              <w:pStyle w:val="BodyText"/>
            </w:pPr>
            <w:r w:rsidRPr="00EC1A29">
              <w:t>Supersedes and equivalent to MSL973003 Prepare culture media. Changes to performance criteria. Range of conditions removed</w:t>
            </w:r>
            <w:r w:rsidRPr="00EC1A29">
              <w:t>. Assessment requirements amended.</w:t>
            </w:r>
          </w:p>
        </w:tc>
      </w:tr>
    </w:tbl>
    <w:p w:rsidR="00000000" w:rsidRPr="00EC1A29" w:rsidP="00EC1A29">
      <w:pPr>
        <w:pStyle w:val="BodyText"/>
      </w:pPr>
    </w:p>
    <w:p w:rsidR="00000000" w:rsidRPr="00EC1A29" w:rsidP="00EC1A29">
      <w:pPr>
        <w:pStyle w:val="AllowPageBreak"/>
      </w:pPr>
    </w:p>
    <w:p w:rsidR="00000000" w:rsidRPr="00EC1A29" w:rsidP="00EC1A29">
      <w:pPr>
        <w:pStyle w:val="Heading1"/>
      </w:pPr>
      <w:bookmarkStart w:id="2" w:name="O_986303"/>
      <w:bookmarkEnd w:id="2"/>
      <w:r w:rsidRPr="00EC1A29">
        <w:t>Application</w:t>
      </w:r>
    </w:p>
    <w:p w:rsidR="00000000" w:rsidRPr="00EC1A29" w:rsidP="005B1C35">
      <w:pPr>
        <w:pStyle w:val="BodyText"/>
      </w:pPr>
      <w:r w:rsidRPr="00EC1A29">
        <w:t>This unit of competency describes the skills and knowledge to prepare culture media which is free of contamination to facilitate optimal growth of organisms and cells. It includes the abilit</w:t>
      </w:r>
      <w:r w:rsidRPr="00EC1A29">
        <w:t>y to organise the materials, equipment and work environment and follow standard methods. Media may be prepared from formulated powders obtained from microbiological companies or by first principles under supervision of a technical officer or scientist.</w:t>
      </w:r>
    </w:p>
    <w:p w:rsidR="00000000" w:rsidRPr="00EC1A29" w:rsidP="005B1C35">
      <w:pPr>
        <w:pStyle w:val="BodyText"/>
      </w:pPr>
      <w:r w:rsidRPr="00EC1A29">
        <w:t>Th</w:t>
      </w:r>
      <w:r w:rsidRPr="00EC1A29">
        <w:t>is unit of competency applies to laboratory assistants in the biomedical, biological, environmental, food processing and pharmaceutical industry sectors.</w:t>
      </w:r>
    </w:p>
    <w:p w:rsidR="00000000" w:rsidRPr="00EC1A29" w:rsidP="005B1C35">
      <w:pPr>
        <w:pStyle w:val="BodyText"/>
      </w:pPr>
      <w:r w:rsidRPr="00EC1A29">
        <w:t>No licensing or certification requirements exist at the time of publication. However, regulations and</w:t>
      </w:r>
      <w:r w:rsidRPr="00EC1A29">
        <w:t>/or external accreditation requirements for laboratory operations exist, so local requirements should be checked. Relevant legislation, industry standards and codes of practice within Australia must also be applied.</w:t>
      </w:r>
    </w:p>
    <w:p w:rsidR="00000000" w:rsidRPr="00EC1A29" w:rsidP="00EC1A29">
      <w:pPr>
        <w:pStyle w:val="Heading1"/>
      </w:pPr>
      <w:bookmarkStart w:id="3" w:name="O_986302"/>
      <w:bookmarkEnd w:id="3"/>
      <w:r w:rsidRPr="00EC1A29">
        <w:t>Pre-requisite Unit</w:t>
      </w:r>
    </w:p>
    <w:p w:rsidR="00000000" w:rsidRPr="00EC1A29" w:rsidP="005B1C35">
      <w:pPr>
        <w:pStyle w:val="BodyText"/>
      </w:pPr>
      <w:r w:rsidRPr="00EC1A29">
        <w:t>Nil</w:t>
      </w:r>
    </w:p>
    <w:p w:rsidR="00000000" w:rsidRPr="00EC1A29" w:rsidP="00EC1A29">
      <w:pPr>
        <w:pStyle w:val="Heading1"/>
      </w:pPr>
      <w:bookmarkStart w:id="4" w:name="O_986301"/>
      <w:bookmarkEnd w:id="4"/>
      <w:r w:rsidRPr="00EC1A29">
        <w:t>Competency Field</w:t>
      </w:r>
    </w:p>
    <w:p w:rsidR="00000000" w:rsidRPr="00EC1A29" w:rsidP="005B1C35">
      <w:pPr>
        <w:pStyle w:val="BodyText"/>
      </w:pPr>
      <w:r w:rsidRPr="00EC1A29">
        <w:t>Testing</w:t>
      </w:r>
    </w:p>
    <w:p w:rsidR="00000000" w:rsidRPr="00EC1A29" w:rsidP="00EC1A29">
      <w:pPr>
        <w:pStyle w:val="Heading1"/>
      </w:pPr>
      <w:bookmarkStart w:id="5" w:name="O_986300"/>
      <w:bookmarkEnd w:id="5"/>
      <w:r w:rsidRPr="00EC1A2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EC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Performance criteria describe the performance needed to demonstrate achievement of the element.</w:t>
            </w:r>
          </w:p>
        </w:tc>
      </w:tr>
      <w:tr w:rsidTr="00EC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A29" w:rsidP="00EC1A29">
            <w:pPr>
              <w:pStyle w:val="BodyText"/>
            </w:pPr>
            <w:r w:rsidRPr="00EC1A2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rPr>
                <w:rStyle w:val="SpecialBold"/>
              </w:rPr>
              <w:t>Prepare culture medi</w:t>
            </w:r>
            <w:r w:rsidRPr="00EC1A29">
              <w:rPr>
                <w:rStyle w:val="SpecialBold"/>
              </w:rPr>
              <w:t>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Prepare mixture of media and solvent to ensure solution and even settling of heat soluble materials</w:t>
            </w:r>
          </w:p>
        </w:tc>
      </w:tr>
      <w:tr w:rsidTr="00EC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 xml:space="preserve">Label media to allow tracking in subsequent processes </w:t>
            </w:r>
          </w:p>
        </w:tc>
      </w:tr>
      <w:tr w:rsidTr="00EC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Use a vessel large enough to endure adequate mixing and heating of the media</w:t>
            </w:r>
          </w:p>
        </w:tc>
      </w:tr>
      <w:tr w:rsidTr="00EC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Check pH of media where pH is critical</w:t>
            </w:r>
          </w:p>
        </w:tc>
      </w:tr>
      <w:tr w:rsidTr="00EC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Dispense media into vessels for sterilisation, leaving room for expansion during heating and cooling</w:t>
            </w:r>
          </w:p>
        </w:tc>
      </w:tr>
      <w:tr w:rsidTr="00EC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A29" w:rsidP="00EC1A29">
            <w:pPr>
              <w:pStyle w:val="BodyText"/>
            </w:pPr>
            <w:r w:rsidRPr="00EC1A29">
              <w:rPr>
                <w:rStyle w:val="SpecialBold"/>
              </w:rPr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rPr>
                <w:rStyle w:val="SpecialBold"/>
              </w:rPr>
              <w:t xml:space="preserve">Sterilise media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Load the steriliser in keeping with maximum permitted loads and appropriate positioning of materials</w:t>
            </w:r>
          </w:p>
        </w:tc>
      </w:tr>
      <w:tr w:rsidTr="00EC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Ensure a sterilisation indicator is correctly placed with the load to monitor sterilisation process</w:t>
            </w:r>
          </w:p>
        </w:tc>
      </w:tr>
      <w:tr w:rsidTr="00EC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Operate sterilisation cycle in accordance with manufacturer requirements to achieve sterilisation at the required settings</w:t>
            </w:r>
          </w:p>
        </w:tc>
      </w:tr>
      <w:tr w:rsidTr="00EC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Cool media to the temperature specified in the media formulation procedures</w:t>
            </w:r>
          </w:p>
        </w:tc>
      </w:tr>
      <w:tr w:rsidTr="00EC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Sterilise media and/or media additives usin</w:t>
            </w:r>
            <w:r w:rsidRPr="00EC1A29">
              <w:t>g membrane filtration techniques</w:t>
            </w:r>
          </w:p>
        </w:tc>
      </w:tr>
      <w:tr w:rsidTr="00EC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A29" w:rsidP="00EC1A29">
            <w:pPr>
              <w:pStyle w:val="BodyText"/>
            </w:pPr>
            <w:r w:rsidRPr="00EC1A29">
              <w:rPr>
                <w:rStyle w:val="SpecialBold"/>
              </w:rPr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rPr>
                <w:rStyle w:val="SpecialBold"/>
              </w:rPr>
              <w:t xml:space="preserve">Dispense or aliquote media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Add labile constituents where necessary, under conditions that will not lead to their denaturation or contamination of media</w:t>
            </w:r>
          </w:p>
        </w:tc>
      </w:tr>
      <w:tr w:rsidTr="00EC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Ensure even mixing of additives and media before dispensing</w:t>
            </w:r>
          </w:p>
        </w:tc>
      </w:tr>
      <w:tr w:rsidTr="00EC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Aseptically dispense media to minimise occurrence of procedural contamination</w:t>
            </w:r>
          </w:p>
        </w:tc>
      </w:tr>
      <w:tr w:rsidTr="00EC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Label media to allow for selection, avoiding areas of the culture vessel required for examination of col</w:t>
            </w:r>
            <w:r w:rsidRPr="00EC1A29">
              <w:t>ony growth</w:t>
            </w:r>
          </w:p>
        </w:tc>
      </w:tr>
      <w:tr w:rsidTr="00EC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</w:p>
        </w:tc>
      </w:tr>
      <w:tr w:rsidTr="00EC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A29" w:rsidP="00EC1A29">
            <w:pPr>
              <w:pStyle w:val="BodyText"/>
            </w:pPr>
            <w:r w:rsidRPr="00EC1A29">
              <w:rPr>
                <w:rStyle w:val="SpecialBold"/>
              </w:rPr>
              <w:t>4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rPr>
                <w:rStyle w:val="SpecialBold"/>
              </w:rPr>
              <w:t>Label media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Date batch media to ensure correct batch rotation</w:t>
            </w:r>
          </w:p>
        </w:tc>
      </w:tr>
      <w:tr w:rsidTr="00EC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 xml:space="preserve">Label media to allow for selection, avoiding areas of the </w:t>
            </w:r>
            <w:r w:rsidRPr="00EC1A29">
              <w:t>culture vessel required for examination of colony growth</w:t>
            </w:r>
          </w:p>
        </w:tc>
      </w:tr>
      <w:tr w:rsidTr="00EC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Maintain records of batches of media</w:t>
            </w:r>
          </w:p>
        </w:tc>
      </w:tr>
      <w:tr w:rsidTr="00EC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</w:p>
        </w:tc>
      </w:tr>
      <w:tr w:rsidTr="00EC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A29" w:rsidP="00EC1A29">
            <w:pPr>
              <w:pStyle w:val="BodyText"/>
            </w:pPr>
            <w:r w:rsidRPr="00EC1A29">
              <w:rPr>
                <w:rStyle w:val="SpecialBold"/>
              </w:rPr>
              <w:t>5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rPr>
                <w:rStyle w:val="SpecialBold"/>
              </w:rPr>
              <w:t>Store and incubate media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Incubate control plates as a sterility check</w:t>
            </w:r>
          </w:p>
        </w:tc>
      </w:tr>
      <w:tr w:rsidTr="00EC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Store media to maximise shelf life and minimise contamination</w:t>
            </w:r>
          </w:p>
        </w:tc>
      </w:tr>
      <w:tr w:rsidTr="00EC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A29" w:rsidP="00EC1A29">
            <w:pPr>
              <w:pStyle w:val="BodyText"/>
            </w:pPr>
            <w:r w:rsidRPr="00EC1A29">
              <w:rPr>
                <w:rStyle w:val="SpecialBold"/>
              </w:rPr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rPr>
                <w:rStyle w:val="SpecialBold"/>
              </w:rPr>
              <w:t>Perform quality control checks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Inspect media for any evidence of possible contamination or problems with structure or sterilisation</w:t>
            </w:r>
          </w:p>
        </w:tc>
      </w:tr>
      <w:tr w:rsidTr="00EC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Check useability of selective media by growth of expected organism</w:t>
            </w:r>
          </w:p>
        </w:tc>
      </w:tr>
      <w:tr w:rsidTr="00EC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Check stored stocks at regular intervals for conformance to required stand</w:t>
            </w:r>
            <w:r w:rsidRPr="00EC1A29">
              <w:t>ards</w:t>
            </w:r>
          </w:p>
        </w:tc>
      </w:tr>
      <w:tr w:rsidTr="00EC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A29" w:rsidP="00EC1A29">
            <w:pPr>
              <w:pStyle w:val="BodyText"/>
            </w:pPr>
            <w:r w:rsidRPr="00EC1A29">
              <w:rPr>
                <w:rStyle w:val="SpecialBold"/>
              </w:rPr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rPr>
                <w:rStyle w:val="SpecialBold"/>
              </w:rPr>
              <w:t>Maintain work area and equipment to prevent cross-infection and contamination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Use personal protective equipment (PPE) and safe work practices to ensure personal safety and that of other laboratory personnel</w:t>
            </w:r>
          </w:p>
        </w:tc>
      </w:tr>
      <w:tr w:rsidTr="00EC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Place disposable and reusable items into relevant receptacles</w:t>
            </w:r>
          </w:p>
        </w:tc>
      </w:tr>
      <w:tr w:rsidTr="00EC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Clean and disinfect work area and equipment after use</w:t>
            </w:r>
          </w:p>
        </w:tc>
      </w:tr>
      <w:tr w:rsidTr="00EC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A29">
            <w:pPr>
              <w:pStyle w:val="BodyText"/>
              <w:rPr>
                <w:lang w:val="en-NZ"/>
              </w:rPr>
            </w:pPr>
            <w:r w:rsidRPr="00EC1A29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A29" w:rsidP="00EC1A29">
            <w:pPr>
              <w:pStyle w:val="BodyText"/>
            </w:pPr>
            <w:r w:rsidRPr="00EC1A29">
              <w:t>Transport disposable and reusable contaminated materials to relevant areas for disinfection, sterilisation and cleaning or dis</w:t>
            </w:r>
            <w:r w:rsidRPr="00EC1A29">
              <w:t>posal</w:t>
            </w:r>
          </w:p>
        </w:tc>
      </w:tr>
    </w:tbl>
    <w:p w:rsidR="00000000" w:rsidRPr="00EC1A29" w:rsidP="00EC1A29">
      <w:pPr>
        <w:pStyle w:val="BodyText"/>
      </w:pPr>
    </w:p>
    <w:p w:rsidR="00000000" w:rsidRPr="00EC1A29" w:rsidP="00EC1A29">
      <w:pPr>
        <w:pStyle w:val="AllowPageBreak"/>
      </w:pPr>
    </w:p>
    <w:p w:rsidR="00000000" w:rsidRPr="00EC1A29" w:rsidP="00EC1A29">
      <w:pPr>
        <w:pStyle w:val="Heading1"/>
      </w:pPr>
      <w:bookmarkStart w:id="6" w:name="O_986299"/>
      <w:bookmarkEnd w:id="6"/>
      <w:r w:rsidRPr="00EC1A29">
        <w:t>Foundation Skills</w:t>
      </w:r>
    </w:p>
    <w:p w:rsidR="00000000" w:rsidRPr="00EC1A29" w:rsidP="005B1C35">
      <w:pPr>
        <w:pStyle w:val="BodyText"/>
      </w:pPr>
      <w:r w:rsidRPr="00EC1A29">
        <w:t>This section describes those language, literacy, numeracy and employment skills that are essential to performance.</w:t>
      </w:r>
    </w:p>
    <w:p w:rsidR="00000000" w:rsidRPr="00EC1A29" w:rsidP="005B1C35">
      <w:pPr>
        <w:pStyle w:val="BodyText"/>
      </w:pPr>
      <w:r w:rsidRPr="00EC1A29">
        <w:t>Foundation skills essential to performance are explicit in the performance criteria of this unit of competency.</w:t>
      </w:r>
    </w:p>
    <w:p w:rsidR="00000000" w:rsidRPr="00EC1A29" w:rsidP="00EC1A29">
      <w:pPr>
        <w:pStyle w:val="Heading1"/>
      </w:pPr>
      <w:bookmarkStart w:id="7" w:name="O_986298"/>
      <w:bookmarkEnd w:id="7"/>
      <w:r w:rsidRPr="00EC1A29">
        <w:t>Unit Mapping Information</w:t>
      </w:r>
    </w:p>
    <w:p w:rsidR="00000000" w:rsidRPr="00EC1A29" w:rsidP="005B1C35">
      <w:pPr>
        <w:pStyle w:val="BodyText"/>
      </w:pPr>
      <w:r w:rsidRPr="00EC1A29">
        <w:t>Equivalent to MSL973003 Prepare culture media, Release 1.</w:t>
      </w:r>
    </w:p>
    <w:p w:rsidR="00000000" w:rsidRPr="00EC1A29" w:rsidP="00EC1A29">
      <w:pPr>
        <w:pStyle w:val="Heading1"/>
      </w:pPr>
      <w:bookmarkStart w:id="8" w:name="O_986291"/>
      <w:bookmarkEnd w:id="8"/>
      <w:r w:rsidRPr="00EC1A29">
        <w:t>Links</w:t>
      </w:r>
    </w:p>
    <w:p w:rsidR="00000000" w:rsidRPr="00EC1A29" w:rsidP="005B1C35">
      <w:pPr>
        <w:pStyle w:val="BodyText"/>
      </w:pPr>
      <w:r w:rsidRPr="00EC1A29">
        <w:t>MSL Laboratory Operat</w:t>
      </w:r>
      <w:r w:rsidRPr="00EC1A29">
        <w:t xml:space="preserve">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31A43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EC1A29" w:rsidP="00EC1A29"/>
    <w:sectPr w:rsidSect="00EC1A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A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A29" w:rsidRPr="005B1C35" w:rsidP="005B1C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A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C35" w:rsidP="00EC1A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1C35" w:rsidP="00EC1A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B1C35" w:rsidP="00EC1A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A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C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1A29" w:rsidRPr="005B1C35" w:rsidP="005B1C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A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C35" w:rsidRPr="002D2AF8" w:rsidP="00EC1A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MSL973015 Prepare culture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B1C35" w:rsidP="00EC1A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A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1A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1A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1A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1A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1A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1A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1A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1A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1A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1A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1A29"/>
  </w:style>
  <w:style w:type="character" w:customStyle="1" w:styleId="Heading1Char">
    <w:name w:val="Heading 1 Char"/>
    <w:basedOn w:val="DefaultParagraphFont"/>
    <w:link w:val="Heading1"/>
    <w:rsid w:val="00EC1A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1A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1A2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C1A29"/>
    <w:rPr>
      <w:b/>
      <w:spacing w:val="0"/>
    </w:rPr>
  </w:style>
  <w:style w:type="character" w:styleId="Emphasis">
    <w:name w:val="Emphasis"/>
    <w:basedOn w:val="DefaultParagraphFont"/>
    <w:qFormat/>
    <w:rsid w:val="00EC1A29"/>
    <w:rPr>
      <w:i/>
    </w:rPr>
  </w:style>
  <w:style w:type="paragraph" w:customStyle="1" w:styleId="SuperHeading">
    <w:name w:val="SuperHeading"/>
    <w:basedOn w:val="Normal"/>
    <w:rsid w:val="00EC1A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1A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1A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1A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1A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1A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1A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1A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1A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1A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1A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1A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1A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1A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1A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1A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1A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1A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1A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1A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1A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1A2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C1A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1A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1A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1A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1A2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1A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1A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1A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1A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1A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1A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1A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1A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1A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1A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1A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1A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1A29"/>
  </w:style>
  <w:style w:type="paragraph" w:styleId="TableofFigures">
    <w:name w:val="table of figures"/>
    <w:basedOn w:val="Normal"/>
    <w:next w:val="Normal"/>
    <w:semiHidden/>
    <w:rsid w:val="00EC1A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1A2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C1A29"/>
    <w:rPr>
      <w:rFonts w:ascii="Wingdings" w:hAnsi="Wingdings"/>
    </w:rPr>
  </w:style>
  <w:style w:type="paragraph" w:customStyle="1" w:styleId="TableHeading">
    <w:name w:val="Table Heading"/>
    <w:basedOn w:val="HeadingBase"/>
    <w:rsid w:val="00EC1A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1A29"/>
    <w:rPr>
      <w:color w:val="0033CC"/>
      <w:u w:val="none"/>
    </w:rPr>
  </w:style>
  <w:style w:type="paragraph" w:customStyle="1" w:styleId="BodyTextRight">
    <w:name w:val="Body Text Right"/>
    <w:basedOn w:val="BodyText"/>
    <w:rsid w:val="00EC1A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1A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1A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1A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1A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1A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1A29"/>
    <w:rPr>
      <w:sz w:val="32"/>
    </w:rPr>
  </w:style>
  <w:style w:type="paragraph" w:customStyle="1" w:styleId="HeadingProcedure">
    <w:name w:val="Heading Procedure"/>
    <w:basedOn w:val="HeadingBase"/>
    <w:next w:val="Normal"/>
    <w:rsid w:val="00EC1A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1A29"/>
    <w:pPr>
      <w:spacing w:before="60" w:after="60"/>
    </w:pPr>
  </w:style>
  <w:style w:type="paragraph" w:styleId="ListContinue">
    <w:name w:val="List Continue"/>
    <w:basedOn w:val="List"/>
    <w:rsid w:val="00EC1A29"/>
    <w:pPr>
      <w:ind w:firstLine="0"/>
    </w:pPr>
  </w:style>
  <w:style w:type="paragraph" w:customStyle="1" w:styleId="ListNote">
    <w:name w:val="List Note"/>
    <w:basedOn w:val="List"/>
    <w:rsid w:val="00EC1A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1A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1A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1A29"/>
    <w:rPr>
      <w:rFonts w:ascii="Courier New" w:hAnsi="Courier New"/>
    </w:rPr>
  </w:style>
  <w:style w:type="paragraph" w:customStyle="1" w:styleId="NoteBullet">
    <w:name w:val="Note Bullet"/>
    <w:basedOn w:val="Note"/>
    <w:rsid w:val="00EC1A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1A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1A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1A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1A2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C1A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1A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1A29"/>
    <w:rPr>
      <w:b/>
      <w:smallCaps/>
    </w:rPr>
  </w:style>
  <w:style w:type="paragraph" w:customStyle="1" w:styleId="TableListNumber">
    <w:name w:val="Table List Number"/>
    <w:basedOn w:val="ListNumber"/>
    <w:rsid w:val="00EC1A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1A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1A29"/>
    <w:pPr>
      <w:numPr>
        <w:numId w:val="7"/>
      </w:numPr>
    </w:pPr>
  </w:style>
  <w:style w:type="paragraph" w:customStyle="1" w:styleId="ListAlpha2">
    <w:name w:val="List Alpha 2"/>
    <w:basedOn w:val="List2"/>
    <w:rsid w:val="00EC1A29"/>
    <w:pPr>
      <w:numPr>
        <w:numId w:val="6"/>
      </w:numPr>
    </w:pPr>
  </w:style>
  <w:style w:type="paragraph" w:styleId="List2">
    <w:name w:val="List 2"/>
    <w:basedOn w:val="BodyText"/>
    <w:rsid w:val="00EC1A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1A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1A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1A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1A2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1A2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C1A29"/>
    <w:pPr>
      <w:numPr>
        <w:numId w:val="2"/>
      </w:numPr>
    </w:pPr>
  </w:style>
  <w:style w:type="paragraph" w:styleId="ListContinue2">
    <w:name w:val="List Continue 2"/>
    <w:basedOn w:val="List2"/>
    <w:rsid w:val="00EC1A29"/>
    <w:pPr>
      <w:ind w:firstLine="0"/>
    </w:pPr>
  </w:style>
  <w:style w:type="paragraph" w:styleId="ListContinue3">
    <w:name w:val="List Continue 3"/>
    <w:basedOn w:val="List3"/>
    <w:rsid w:val="00EC1A29"/>
    <w:pPr>
      <w:ind w:left="1021" w:firstLine="0"/>
    </w:pPr>
  </w:style>
  <w:style w:type="paragraph" w:styleId="ListContinue4">
    <w:name w:val="List Continue 4"/>
    <w:basedOn w:val="List4"/>
    <w:rsid w:val="00EC1A29"/>
    <w:pPr>
      <w:ind w:firstLine="0"/>
    </w:pPr>
  </w:style>
  <w:style w:type="paragraph" w:styleId="ListContinue5">
    <w:name w:val="List Continue 5"/>
    <w:basedOn w:val="List5"/>
    <w:rsid w:val="00EC1A29"/>
    <w:pPr>
      <w:ind w:firstLine="0"/>
    </w:pPr>
  </w:style>
  <w:style w:type="paragraph" w:styleId="ListNumber3">
    <w:name w:val="List Number 3"/>
    <w:basedOn w:val="List3"/>
    <w:rsid w:val="00EC1A29"/>
    <w:pPr>
      <w:numPr>
        <w:numId w:val="3"/>
      </w:numPr>
    </w:pPr>
  </w:style>
  <w:style w:type="paragraph" w:styleId="ListNumber4">
    <w:name w:val="List Number 4"/>
    <w:basedOn w:val="List4"/>
    <w:rsid w:val="00EC1A29"/>
    <w:pPr>
      <w:numPr>
        <w:numId w:val="4"/>
      </w:numPr>
    </w:pPr>
  </w:style>
  <w:style w:type="paragraph" w:styleId="ListNumber5">
    <w:name w:val="List Number 5"/>
    <w:basedOn w:val="List5"/>
    <w:rsid w:val="00EC1A29"/>
    <w:pPr>
      <w:numPr>
        <w:numId w:val="5"/>
      </w:numPr>
    </w:pPr>
  </w:style>
  <w:style w:type="paragraph" w:styleId="BlockText">
    <w:name w:val="Block Text"/>
    <w:basedOn w:val="Normal"/>
    <w:rsid w:val="00EC1A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1A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1A29"/>
    <w:rPr>
      <w:sz w:val="16"/>
      <w:vertAlign w:val="superscript"/>
    </w:rPr>
  </w:style>
  <w:style w:type="character" w:customStyle="1" w:styleId="Symbols">
    <w:name w:val="Symbols"/>
    <w:basedOn w:val="DefaultParagraphFont"/>
    <w:rsid w:val="00EC1A29"/>
    <w:rPr>
      <w:rFonts w:ascii="Symbol" w:hAnsi="Symbol"/>
    </w:rPr>
  </w:style>
  <w:style w:type="character" w:customStyle="1" w:styleId="MenuOptions">
    <w:name w:val="Menu Options"/>
    <w:basedOn w:val="DefaultParagraphFont"/>
    <w:rsid w:val="00EC1A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1A29"/>
    <w:rPr>
      <w:b/>
    </w:rPr>
  </w:style>
  <w:style w:type="character" w:customStyle="1" w:styleId="Underlined">
    <w:name w:val="Underlined"/>
    <w:basedOn w:val="DefaultParagraphFont"/>
    <w:rsid w:val="00EC1A29"/>
    <w:rPr>
      <w:u w:val="single"/>
    </w:rPr>
  </w:style>
  <w:style w:type="paragraph" w:customStyle="1" w:styleId="TableBodyTextRight">
    <w:name w:val="Table Body Text Right"/>
    <w:basedOn w:val="TableBodyText"/>
    <w:rsid w:val="00EC1A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1A29"/>
    <w:rPr>
      <w:sz w:val="18"/>
    </w:rPr>
  </w:style>
  <w:style w:type="paragraph" w:customStyle="1" w:styleId="BodySmallRight">
    <w:name w:val="Body Small Right"/>
    <w:basedOn w:val="BodyTextRight"/>
    <w:rsid w:val="00EC1A29"/>
    <w:rPr>
      <w:sz w:val="18"/>
      <w:szCs w:val="18"/>
    </w:rPr>
  </w:style>
  <w:style w:type="paragraph" w:customStyle="1" w:styleId="MarginEdition">
    <w:name w:val="Margin Edition"/>
    <w:basedOn w:val="MarginNote"/>
    <w:rsid w:val="00EC1A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1A29"/>
    <w:rPr>
      <w:sz w:val="2"/>
      <w:szCs w:val="2"/>
    </w:rPr>
  </w:style>
  <w:style w:type="character" w:customStyle="1" w:styleId="Small">
    <w:name w:val="Small"/>
    <w:basedOn w:val="DefaultParagraphFont"/>
    <w:rsid w:val="00EC1A29"/>
    <w:rPr>
      <w:sz w:val="16"/>
    </w:rPr>
  </w:style>
  <w:style w:type="paragraph" w:customStyle="1" w:styleId="WideTable">
    <w:name w:val="Wide Table"/>
    <w:basedOn w:val="Normal"/>
    <w:rsid w:val="00EC1A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1A29"/>
  </w:style>
  <w:style w:type="paragraph" w:styleId="Quote">
    <w:name w:val="Quote"/>
    <w:basedOn w:val="Heading1"/>
    <w:link w:val="QuoteChar"/>
    <w:qFormat/>
    <w:rsid w:val="00EC1A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1A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1A29"/>
    <w:pPr>
      <w:pageBreakBefore/>
    </w:pPr>
  </w:style>
  <w:style w:type="paragraph" w:customStyle="1" w:styleId="Border">
    <w:name w:val="Border"/>
    <w:basedOn w:val="Normal"/>
    <w:qFormat/>
    <w:rsid w:val="00EC1A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1A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A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A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1A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1A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1A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1A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1A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1A29"/>
    <w:rPr>
      <w:u w:val="single"/>
    </w:rPr>
  </w:style>
  <w:style w:type="character" w:customStyle="1" w:styleId="BoldandItalics">
    <w:name w:val="Bold and Italics"/>
    <w:qFormat/>
    <w:rsid w:val="00EC1A29"/>
    <w:rPr>
      <w:b/>
      <w:i/>
      <w:u w:val="none"/>
    </w:rPr>
  </w:style>
  <w:style w:type="paragraph" w:styleId="BalloonText">
    <w:name w:val="Balloon Text"/>
    <w:basedOn w:val="Normal"/>
    <w:link w:val="BalloonTextChar"/>
    <w:rsid w:val="00EC1A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1A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1A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1A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1A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1A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1A29"/>
    <w:pPr>
      <w:spacing w:before="0" w:after="0"/>
    </w:pPr>
  </w:style>
  <w:style w:type="paragraph" w:customStyle="1" w:styleId="BodyTextBold">
    <w:name w:val="Body Text Bold"/>
    <w:basedOn w:val="BodyText"/>
    <w:qFormat/>
    <w:rsid w:val="00EC1A29"/>
    <w:rPr>
      <w:b/>
    </w:rPr>
  </w:style>
  <w:style w:type="character" w:styleId="Hyperlink">
    <w:name w:val="Hyperlink"/>
    <w:basedOn w:val="DefaultParagraphFont"/>
    <w:uiPriority w:val="99"/>
    <w:unhideWhenUsed/>
    <w:rsid w:val="005B1C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4097</Characters>
  <Application>Microsoft Office Word</Application>
  <DocSecurity>0</DocSecurity>
  <Lines>215</Lines>
  <Paragraphs>113</Paragraphs>
  <ScaleCrop>false</ScaleCrop>
  <Company>Author-it Software Corporation Ltd.</Company>
  <LinksUpToDate>false</LinksUpToDate>
  <CharactersWithSpaces>4652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MSL973015 Prepare culture media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2023-01-24T12:01:00Z</dcterms:created>
  <dcterms:modified xsi:type="dcterms:W3CDTF">2023-01-24T12:01:00Z</dcterms:modified>
</cp:coreProperties>
</file>