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B4C" w:rsidP="00300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MSL973014 Prepare working solutions</w:t>
      </w:r>
      <w:r>
        <w:fldChar w:fldCharType="end"/>
      </w:r>
    </w:p>
    <w:p w:rsidR="00300B4C" w:rsidP="00300B4C">
      <w:pPr>
        <w:pStyle w:val="Version"/>
        <w:sectPr w:rsidSect="001B10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045" w:rsidP="001B1045">
      <w:pPr>
        <w:pStyle w:val="SuperHeading"/>
      </w:pPr>
      <w:r w:rsidRPr="001B1045">
        <w:t>Assessment Requirements for MSL973014 Prepare working solutions</w:t>
      </w:r>
    </w:p>
    <w:p w:rsidR="00000000" w:rsidRPr="001B1045" w:rsidP="001B1045">
      <w:pPr>
        <w:pStyle w:val="Heading1"/>
      </w:pPr>
      <w:bookmarkStart w:id="1" w:name="O_986276"/>
      <w:bookmarkEnd w:id="1"/>
      <w:r w:rsidRPr="001B10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1B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1045" w:rsidP="001B1045">
            <w:pPr>
              <w:pStyle w:val="BodyText"/>
            </w:pPr>
            <w:r w:rsidRPr="001B1045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1045">
            <w:pPr>
              <w:pStyle w:val="BodyText"/>
              <w:rPr>
                <w:lang w:val="en-NZ"/>
              </w:rPr>
            </w:pPr>
            <w:r w:rsidRPr="001B1045">
              <w:rPr>
                <w:rStyle w:val="SpecialBold"/>
              </w:rPr>
              <w:t>Comments</w:t>
            </w:r>
          </w:p>
        </w:tc>
      </w:tr>
      <w:tr w:rsidTr="001B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45">
            <w:pPr>
              <w:pStyle w:val="BodyText"/>
              <w:rPr>
                <w:lang w:val="en-NZ"/>
              </w:rPr>
            </w:pPr>
            <w:r w:rsidRPr="001B1045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45" w:rsidP="001B1045">
            <w:pPr>
              <w:pStyle w:val="BodyText"/>
            </w:pPr>
            <w:r w:rsidRPr="001B1045">
              <w:t xml:space="preserve">This version was released in </w:t>
            </w:r>
            <w:r w:rsidRPr="001B1045">
              <w:rPr>
                <w:rStyle w:val="Emphasis"/>
              </w:rPr>
              <w:t>MSL Laboratory Operations Training Package Release 2.0.</w:t>
            </w:r>
          </w:p>
          <w:p w:rsidR="00000000" w:rsidRPr="001B1045" w:rsidP="001B1045">
            <w:pPr>
              <w:pStyle w:val="BodyText"/>
            </w:pPr>
            <w:r w:rsidRPr="001B1045">
              <w:t>Supersedes and equivalent to MSL973002 Prepare working solutions. Changes to elements and performance criteria. Range of conditions removed. Assessment requirements amended.</w:t>
            </w:r>
          </w:p>
        </w:tc>
      </w:tr>
    </w:tbl>
    <w:p w:rsidR="00000000" w:rsidRPr="001B1045" w:rsidP="001B1045">
      <w:pPr>
        <w:pStyle w:val="BodyText"/>
      </w:pPr>
    </w:p>
    <w:p w:rsidR="00000000" w:rsidRPr="001B1045" w:rsidP="001B1045">
      <w:pPr>
        <w:pStyle w:val="AllowPageBreak"/>
      </w:pPr>
    </w:p>
    <w:p w:rsidR="00000000" w:rsidRPr="001B1045" w:rsidP="001B1045">
      <w:pPr>
        <w:pStyle w:val="Heading1"/>
      </w:pPr>
      <w:bookmarkStart w:id="2" w:name="O_986279"/>
      <w:bookmarkEnd w:id="2"/>
      <w:r w:rsidRPr="001B1045">
        <w:t>Performance Evidence</w:t>
      </w:r>
    </w:p>
    <w:p w:rsidR="00000000" w:rsidRPr="001B1045" w:rsidP="00300B4C">
      <w:pPr>
        <w:pStyle w:val="BodyText"/>
      </w:pPr>
      <w:r w:rsidRPr="001B1045">
        <w:t>There must be evidence the candidate has c</w:t>
      </w:r>
      <w:r w:rsidRPr="001B1045">
        <w:t>ompleted the tasks outlined in the elements and performance criteria of this unit, and:</w:t>
      </w:r>
    </w:p>
    <w:p w:rsidR="00000000" w:rsidRPr="001B1045" w:rsidP="001B1045">
      <w:pPr>
        <w:pStyle w:val="ListBullet"/>
      </w:pPr>
      <w:r w:rsidRPr="001B1045">
        <w:t>safely prepared at least 5 examples of correctly labelled working solutions, including calculation of the quantities involved and any dilutions required</w:t>
      </w:r>
    </w:p>
    <w:p w:rsidR="00000000" w:rsidRPr="001B1045" w:rsidP="001B1045">
      <w:pPr>
        <w:pStyle w:val="ListBullet"/>
      </w:pPr>
      <w:r w:rsidRPr="001B1045">
        <w:t>checked existing stocks of working solutions and identified those unfit for use.</w:t>
      </w:r>
    </w:p>
    <w:p w:rsidR="00000000" w:rsidRPr="001B1045" w:rsidP="001B1045">
      <w:pPr>
        <w:pStyle w:val="AllowPageBreak"/>
      </w:pPr>
    </w:p>
    <w:p w:rsidR="00000000" w:rsidRPr="001B1045" w:rsidP="001B1045">
      <w:pPr>
        <w:pStyle w:val="Heading1"/>
      </w:pPr>
      <w:bookmarkStart w:id="3" w:name="O_986278"/>
      <w:bookmarkEnd w:id="3"/>
      <w:r w:rsidRPr="001B1045">
        <w:t>Knowledge Evidence</w:t>
      </w:r>
    </w:p>
    <w:p w:rsidR="00000000" w:rsidRPr="001B1045" w:rsidP="00300B4C">
      <w:pPr>
        <w:pStyle w:val="BodyText"/>
      </w:pPr>
      <w:r w:rsidRPr="001B1045">
        <w:t>There must be evidence the candidate has knowledge of:</w:t>
      </w:r>
    </w:p>
    <w:p w:rsidR="00000000" w:rsidRPr="001B1045" w:rsidP="001B1045">
      <w:pPr>
        <w:pStyle w:val="ListBullet"/>
      </w:pPr>
      <w:r w:rsidRPr="001B1045">
        <w:t>concepts of metrology, including:</w:t>
      </w:r>
    </w:p>
    <w:p w:rsidR="00000000" w:rsidRPr="001B1045" w:rsidP="001B1045">
      <w:pPr>
        <w:pStyle w:val="ListBullet2"/>
      </w:pPr>
      <w:r w:rsidRPr="001B1045">
        <w:t>all measurements are estimates</w:t>
      </w:r>
    </w:p>
    <w:p w:rsidR="00000000" w:rsidRPr="001B1045" w:rsidP="001B1045">
      <w:pPr>
        <w:pStyle w:val="ListBullet2"/>
      </w:pPr>
      <w:r w:rsidRPr="001B1045">
        <w:t>precision, accura</w:t>
      </w:r>
      <w:r w:rsidRPr="001B1045">
        <w:t>cy and significant figures</w:t>
      </w:r>
    </w:p>
    <w:p w:rsidR="00000000" w:rsidRPr="001B1045" w:rsidP="001B1045">
      <w:pPr>
        <w:pStyle w:val="ListBullet2"/>
      </w:pPr>
      <w:r w:rsidRPr="001B1045">
        <w:t>sources of error, uncertainty and repeatability</w:t>
      </w:r>
    </w:p>
    <w:p w:rsidR="00000000" w:rsidRPr="001B1045" w:rsidP="001B1045">
      <w:pPr>
        <w:pStyle w:val="ListBullet2"/>
      </w:pPr>
      <w:r w:rsidRPr="001B1045">
        <w:t>traceability</w:t>
      </w:r>
    </w:p>
    <w:p w:rsidR="00000000" w:rsidRPr="001B1045" w:rsidP="001B1045">
      <w:pPr>
        <w:pStyle w:val="ListBullet"/>
      </w:pPr>
      <w:r w:rsidRPr="001B1045">
        <w:t>working solutions</w:t>
      </w:r>
    </w:p>
    <w:p w:rsidR="00000000" w:rsidRPr="001B1045" w:rsidP="001B1045">
      <w:pPr>
        <w:pStyle w:val="ListBullet"/>
      </w:pPr>
      <w:r w:rsidRPr="001B1045">
        <w:t>international system of units (SI)</w:t>
      </w:r>
    </w:p>
    <w:p w:rsidR="00000000" w:rsidRPr="001B1045" w:rsidP="001B1045">
      <w:pPr>
        <w:pStyle w:val="ListBullet"/>
      </w:pPr>
      <w:r w:rsidRPr="001B1045">
        <w:t>concentration terms, such as % w/w, % w/v, % v/v, ppm (mg/L) and molarity</w:t>
      </w:r>
    </w:p>
    <w:p w:rsidR="00000000" w:rsidRPr="001B1045" w:rsidP="001B1045">
      <w:pPr>
        <w:pStyle w:val="ListBullet"/>
      </w:pPr>
      <w:r w:rsidRPr="001B1045">
        <w:t>basic theory of acids, bases, salts, buffers and neutralisation</w:t>
      </w:r>
    </w:p>
    <w:p w:rsidR="00000000" w:rsidRPr="001B1045" w:rsidP="001B1045">
      <w:pPr>
        <w:pStyle w:val="ListBullet"/>
      </w:pPr>
      <w:r w:rsidRPr="001B1045">
        <w:t>what affects solubility</w:t>
      </w:r>
    </w:p>
    <w:p w:rsidR="00000000" w:rsidRPr="001B1045" w:rsidP="001B1045">
      <w:pPr>
        <w:pStyle w:val="ListBullet"/>
      </w:pPr>
      <w:r w:rsidRPr="001B1045">
        <w:t>difference between aqueous and organic solutions</w:t>
      </w:r>
    </w:p>
    <w:p w:rsidR="00000000" w:rsidRPr="001B1045" w:rsidP="001B1045">
      <w:pPr>
        <w:pStyle w:val="ListBullet"/>
      </w:pPr>
      <w:r w:rsidRPr="001B1045">
        <w:t xml:space="preserve">periodic table, symbols of the elements, atomic weights, and difference between elements and compounds </w:t>
      </w:r>
    </w:p>
    <w:p w:rsidR="00000000" w:rsidRPr="001B1045" w:rsidP="001B1045">
      <w:pPr>
        <w:pStyle w:val="ListBullet"/>
      </w:pPr>
      <w:r w:rsidRPr="001B1045">
        <w:t>chemical formul</w:t>
      </w:r>
      <w:r w:rsidRPr="001B1045">
        <w:t>ae</w:t>
      </w:r>
    </w:p>
    <w:p w:rsidR="00000000" w:rsidRPr="001B1045" w:rsidP="001B1045">
      <w:pPr>
        <w:pStyle w:val="ListBullet"/>
      </w:pPr>
      <w:r w:rsidRPr="001B1045">
        <w:t>workplace procedures for preparing solutions</w:t>
      </w:r>
    </w:p>
    <w:p w:rsidR="00000000" w:rsidRPr="001B1045" w:rsidP="001B1045">
      <w:pPr>
        <w:pStyle w:val="ListBullet"/>
      </w:pPr>
      <w:r w:rsidRPr="001B1045">
        <w:t>calculations required to prepare specified amounts of solutions of specified concentration</w:t>
      </w:r>
    </w:p>
    <w:p w:rsidR="00000000" w:rsidRPr="001B1045" w:rsidP="001B1045">
      <w:pPr>
        <w:pStyle w:val="ListBullet"/>
      </w:pPr>
      <w:r w:rsidRPr="001B1045">
        <w:t>use of safety data sheets (SDS) and workplace procedures for preparing, handling and disposing of solutions and clean</w:t>
      </w:r>
      <w:r w:rsidRPr="001B1045">
        <w:t>ing up spillages</w:t>
      </w:r>
    </w:p>
    <w:p w:rsidR="00000000" w:rsidRPr="001B1045" w:rsidP="001B1045">
      <w:pPr>
        <w:pStyle w:val="ListBullet"/>
      </w:pPr>
      <w:r w:rsidRPr="001B1045">
        <w:t>awareness of environmental sustainability issues as they relate to the work task</w:t>
      </w:r>
    </w:p>
    <w:p w:rsidR="00000000" w:rsidRPr="001B1045" w:rsidP="001B1045">
      <w:pPr>
        <w:pStyle w:val="ListBullet"/>
      </w:pPr>
      <w:r w:rsidRPr="001B1045">
        <w:t xml:space="preserve">legal, ethical and work health and safety (WHS) requirements specific to the work task. </w:t>
      </w:r>
    </w:p>
    <w:p w:rsidR="00000000" w:rsidRPr="001B1045" w:rsidP="001B1045">
      <w:pPr>
        <w:pStyle w:val="AllowPageBreak"/>
      </w:pPr>
    </w:p>
    <w:p w:rsidR="00000000" w:rsidRPr="001B1045" w:rsidP="001B1045">
      <w:pPr>
        <w:pStyle w:val="Heading1"/>
      </w:pPr>
      <w:bookmarkStart w:id="4" w:name="O_986277"/>
      <w:bookmarkEnd w:id="4"/>
      <w:r w:rsidRPr="001B1045">
        <w:t>Assessment Conditions</w:t>
      </w:r>
    </w:p>
    <w:p w:rsidR="00000000" w:rsidRPr="001B1045" w:rsidP="00300B4C">
      <w:pPr>
        <w:pStyle w:val="BodyText"/>
      </w:pPr>
      <w:r w:rsidRPr="001B1045">
        <w:t>Skills must have been demonstr</w:t>
      </w:r>
      <w:r w:rsidRPr="001B1045">
        <w:t xml:space="preserve">ated in the workplace or in a simulated environment that reflects workplace conditions and contingencies. The following conditions must be met for this unit: </w:t>
      </w:r>
    </w:p>
    <w:p w:rsidR="00000000" w:rsidRPr="001B1045" w:rsidP="001B1045">
      <w:pPr>
        <w:pStyle w:val="ListBullet"/>
      </w:pPr>
      <w:r w:rsidRPr="001B1045">
        <w:t xml:space="preserve">use of suitable facilities, equipment and resources, including: </w:t>
      </w:r>
    </w:p>
    <w:p w:rsidR="00000000" w:rsidRPr="001B1045" w:rsidP="001B1045">
      <w:pPr>
        <w:pStyle w:val="ListBullet2"/>
      </w:pPr>
      <w:r w:rsidRPr="001B1045">
        <w:t>a standard laboratory equipped</w:t>
      </w:r>
      <w:r w:rsidRPr="001B1045">
        <w:t xml:space="preserve"> with appropriate reagents and equipment</w:t>
      </w:r>
    </w:p>
    <w:p w:rsidR="00000000" w:rsidRPr="001B1045" w:rsidP="001B1045">
      <w:pPr>
        <w:pStyle w:val="ListBullet2"/>
      </w:pPr>
      <w:r w:rsidRPr="001B1045">
        <w:t>standard methods and workplace procedures</w:t>
      </w:r>
    </w:p>
    <w:p w:rsidR="00000000" w:rsidRPr="001B1045" w:rsidP="001B1045">
      <w:pPr>
        <w:pStyle w:val="ListBullet2"/>
      </w:pPr>
      <w:r w:rsidRPr="001B1045">
        <w:t>containers and storage facilities.</w:t>
      </w:r>
    </w:p>
    <w:p w:rsidR="00000000" w:rsidRPr="001B1045" w:rsidP="00300B4C">
      <w:pPr>
        <w:pStyle w:val="BodyText"/>
      </w:pPr>
      <w:r w:rsidRPr="001B1045">
        <w:br/>
        <w:t>Assessors must satisfy the NVR/AQTF mandatory competency requirements for assessors.</w:t>
      </w:r>
    </w:p>
    <w:p w:rsidR="00000000" w:rsidRPr="001B1045" w:rsidP="001B1045">
      <w:pPr>
        <w:pStyle w:val="AllowPageBreak"/>
      </w:pPr>
    </w:p>
    <w:p w:rsidR="00000000" w:rsidRPr="001B1045" w:rsidP="001B1045">
      <w:pPr>
        <w:pStyle w:val="Heading1"/>
      </w:pPr>
      <w:bookmarkStart w:id="5" w:name="O_986275"/>
      <w:bookmarkEnd w:id="5"/>
      <w:r w:rsidRPr="001B1045">
        <w:t>Links</w:t>
      </w:r>
    </w:p>
    <w:p w:rsidR="00000000" w:rsidRPr="001B1045" w:rsidP="00300B4C">
      <w:pPr>
        <w:pStyle w:val="BodyText"/>
      </w:pPr>
      <w:r w:rsidRPr="001B1045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1479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B1045" w:rsidP="001B1045"/>
    <w:sectPr w:rsidSect="001B10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45" w:rsidRPr="00300B4C" w:rsidP="00300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4C" w:rsidP="001B1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0B4C" w:rsidP="001B1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00B4C" w:rsidP="001B10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045" w:rsidRPr="00300B4C" w:rsidP="00300B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4C" w:rsidRPr="002D2AF8" w:rsidP="001B1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MSL973014 Prepare working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00B4C" w:rsidP="001B10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74A9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9E0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6A7B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0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0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0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0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0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0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0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0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0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0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0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045"/>
  </w:style>
  <w:style w:type="character" w:customStyle="1" w:styleId="Heading1Char">
    <w:name w:val="Heading 1 Char"/>
    <w:basedOn w:val="DefaultParagraphFont"/>
    <w:link w:val="Heading1"/>
    <w:rsid w:val="001B10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0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0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0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045"/>
    <w:rPr>
      <w:b/>
      <w:spacing w:val="0"/>
    </w:rPr>
  </w:style>
  <w:style w:type="paragraph" w:styleId="ListBullet2">
    <w:name w:val="List Bullet 2"/>
    <w:basedOn w:val="List2"/>
    <w:rsid w:val="001B10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1045"/>
    <w:rPr>
      <w:i/>
    </w:rPr>
  </w:style>
  <w:style w:type="paragraph" w:customStyle="1" w:styleId="SuperHeading">
    <w:name w:val="SuperHeading"/>
    <w:basedOn w:val="Normal"/>
    <w:rsid w:val="001B10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0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0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0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0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0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0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0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0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0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0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0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0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0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0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0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0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0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0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0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0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10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0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0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0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0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0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0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0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0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10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0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0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045"/>
  </w:style>
  <w:style w:type="paragraph" w:styleId="TableofFigures">
    <w:name w:val="table of figures"/>
    <w:basedOn w:val="Normal"/>
    <w:next w:val="Normal"/>
    <w:semiHidden/>
    <w:rsid w:val="001B10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0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1045"/>
    <w:rPr>
      <w:rFonts w:ascii="Wingdings" w:hAnsi="Wingdings"/>
    </w:rPr>
  </w:style>
  <w:style w:type="paragraph" w:customStyle="1" w:styleId="TableHeading">
    <w:name w:val="Table Heading"/>
    <w:basedOn w:val="HeadingBase"/>
    <w:rsid w:val="001B10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045"/>
    <w:rPr>
      <w:color w:val="0033CC"/>
      <w:u w:val="none"/>
    </w:rPr>
  </w:style>
  <w:style w:type="paragraph" w:customStyle="1" w:styleId="BodyTextRight">
    <w:name w:val="Body Text Right"/>
    <w:basedOn w:val="BodyText"/>
    <w:rsid w:val="001B10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0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0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0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0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0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045"/>
    <w:rPr>
      <w:sz w:val="32"/>
    </w:rPr>
  </w:style>
  <w:style w:type="paragraph" w:customStyle="1" w:styleId="HeadingProcedure">
    <w:name w:val="Heading Procedure"/>
    <w:basedOn w:val="HeadingBase"/>
    <w:next w:val="Normal"/>
    <w:rsid w:val="001B10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045"/>
    <w:pPr>
      <w:spacing w:before="60" w:after="60"/>
    </w:pPr>
  </w:style>
  <w:style w:type="paragraph" w:styleId="ListContinue">
    <w:name w:val="List Continue"/>
    <w:basedOn w:val="List"/>
    <w:rsid w:val="001B1045"/>
    <w:pPr>
      <w:ind w:firstLine="0"/>
    </w:pPr>
  </w:style>
  <w:style w:type="paragraph" w:customStyle="1" w:styleId="ListNote">
    <w:name w:val="List Note"/>
    <w:basedOn w:val="List"/>
    <w:rsid w:val="001B10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0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0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045"/>
    <w:rPr>
      <w:rFonts w:ascii="Courier New" w:hAnsi="Courier New"/>
    </w:rPr>
  </w:style>
  <w:style w:type="paragraph" w:customStyle="1" w:styleId="NoteBullet">
    <w:name w:val="Note Bullet"/>
    <w:basedOn w:val="Note"/>
    <w:rsid w:val="001B10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0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0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0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0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10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0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045"/>
    <w:rPr>
      <w:b/>
      <w:smallCaps/>
    </w:rPr>
  </w:style>
  <w:style w:type="paragraph" w:customStyle="1" w:styleId="TableListNumber">
    <w:name w:val="Table List Number"/>
    <w:basedOn w:val="ListNumber"/>
    <w:rsid w:val="001B10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0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045"/>
    <w:pPr>
      <w:numPr>
        <w:numId w:val="9"/>
      </w:numPr>
    </w:pPr>
  </w:style>
  <w:style w:type="paragraph" w:customStyle="1" w:styleId="ListAlpha2">
    <w:name w:val="List Alpha 2"/>
    <w:basedOn w:val="List2"/>
    <w:rsid w:val="001B1045"/>
    <w:pPr>
      <w:numPr>
        <w:numId w:val="8"/>
      </w:numPr>
    </w:pPr>
  </w:style>
  <w:style w:type="paragraph" w:styleId="List2">
    <w:name w:val="List 2"/>
    <w:basedOn w:val="BodyText"/>
    <w:rsid w:val="001B10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0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0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0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0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0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1045"/>
    <w:pPr>
      <w:numPr>
        <w:numId w:val="4"/>
      </w:numPr>
    </w:pPr>
  </w:style>
  <w:style w:type="paragraph" w:styleId="ListContinue2">
    <w:name w:val="List Continue 2"/>
    <w:basedOn w:val="List2"/>
    <w:rsid w:val="001B1045"/>
    <w:pPr>
      <w:ind w:firstLine="0"/>
    </w:pPr>
  </w:style>
  <w:style w:type="paragraph" w:styleId="ListContinue3">
    <w:name w:val="List Continue 3"/>
    <w:basedOn w:val="List3"/>
    <w:rsid w:val="001B1045"/>
    <w:pPr>
      <w:ind w:left="1021" w:firstLine="0"/>
    </w:pPr>
  </w:style>
  <w:style w:type="paragraph" w:styleId="ListContinue4">
    <w:name w:val="List Continue 4"/>
    <w:basedOn w:val="List4"/>
    <w:rsid w:val="001B1045"/>
    <w:pPr>
      <w:ind w:firstLine="0"/>
    </w:pPr>
  </w:style>
  <w:style w:type="paragraph" w:styleId="ListContinue5">
    <w:name w:val="List Continue 5"/>
    <w:basedOn w:val="List5"/>
    <w:rsid w:val="001B1045"/>
    <w:pPr>
      <w:ind w:firstLine="0"/>
    </w:pPr>
  </w:style>
  <w:style w:type="paragraph" w:styleId="ListNumber3">
    <w:name w:val="List Number 3"/>
    <w:basedOn w:val="List3"/>
    <w:rsid w:val="001B1045"/>
    <w:pPr>
      <w:numPr>
        <w:numId w:val="5"/>
      </w:numPr>
    </w:pPr>
  </w:style>
  <w:style w:type="paragraph" w:styleId="ListNumber4">
    <w:name w:val="List Number 4"/>
    <w:basedOn w:val="List4"/>
    <w:rsid w:val="001B1045"/>
    <w:pPr>
      <w:numPr>
        <w:numId w:val="6"/>
      </w:numPr>
    </w:pPr>
  </w:style>
  <w:style w:type="paragraph" w:styleId="ListNumber5">
    <w:name w:val="List Number 5"/>
    <w:basedOn w:val="List5"/>
    <w:rsid w:val="001B1045"/>
    <w:pPr>
      <w:numPr>
        <w:numId w:val="7"/>
      </w:numPr>
    </w:pPr>
  </w:style>
  <w:style w:type="paragraph" w:styleId="BlockText">
    <w:name w:val="Block Text"/>
    <w:basedOn w:val="Normal"/>
    <w:rsid w:val="001B10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0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045"/>
    <w:rPr>
      <w:sz w:val="16"/>
      <w:vertAlign w:val="superscript"/>
    </w:rPr>
  </w:style>
  <w:style w:type="character" w:customStyle="1" w:styleId="Symbols">
    <w:name w:val="Symbols"/>
    <w:basedOn w:val="DefaultParagraphFont"/>
    <w:rsid w:val="001B1045"/>
    <w:rPr>
      <w:rFonts w:ascii="Symbol" w:hAnsi="Symbol"/>
    </w:rPr>
  </w:style>
  <w:style w:type="character" w:customStyle="1" w:styleId="MenuOptions">
    <w:name w:val="Menu Options"/>
    <w:basedOn w:val="DefaultParagraphFont"/>
    <w:rsid w:val="001B10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045"/>
    <w:rPr>
      <w:b/>
    </w:rPr>
  </w:style>
  <w:style w:type="character" w:customStyle="1" w:styleId="Underlined">
    <w:name w:val="Underlined"/>
    <w:basedOn w:val="DefaultParagraphFont"/>
    <w:rsid w:val="001B1045"/>
    <w:rPr>
      <w:u w:val="single"/>
    </w:rPr>
  </w:style>
  <w:style w:type="paragraph" w:customStyle="1" w:styleId="TableBodyTextRight">
    <w:name w:val="Table Body Text Right"/>
    <w:basedOn w:val="TableBodyText"/>
    <w:rsid w:val="001B10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045"/>
    <w:rPr>
      <w:sz w:val="18"/>
    </w:rPr>
  </w:style>
  <w:style w:type="paragraph" w:customStyle="1" w:styleId="BodySmallRight">
    <w:name w:val="Body Small Right"/>
    <w:basedOn w:val="BodyTextRight"/>
    <w:rsid w:val="001B1045"/>
    <w:rPr>
      <w:sz w:val="18"/>
      <w:szCs w:val="18"/>
    </w:rPr>
  </w:style>
  <w:style w:type="paragraph" w:customStyle="1" w:styleId="MarginEdition">
    <w:name w:val="Margin Edition"/>
    <w:basedOn w:val="MarginNote"/>
    <w:rsid w:val="001B10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045"/>
    <w:rPr>
      <w:sz w:val="2"/>
      <w:szCs w:val="2"/>
    </w:rPr>
  </w:style>
  <w:style w:type="character" w:customStyle="1" w:styleId="Small">
    <w:name w:val="Small"/>
    <w:basedOn w:val="DefaultParagraphFont"/>
    <w:rsid w:val="001B1045"/>
    <w:rPr>
      <w:sz w:val="16"/>
    </w:rPr>
  </w:style>
  <w:style w:type="paragraph" w:customStyle="1" w:styleId="WideTable">
    <w:name w:val="Wide Table"/>
    <w:basedOn w:val="Normal"/>
    <w:rsid w:val="001B10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045"/>
  </w:style>
  <w:style w:type="paragraph" w:styleId="Quote">
    <w:name w:val="Quote"/>
    <w:basedOn w:val="Heading1"/>
    <w:link w:val="QuoteChar"/>
    <w:qFormat/>
    <w:rsid w:val="001B10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0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045"/>
    <w:pPr>
      <w:pageBreakBefore/>
    </w:pPr>
  </w:style>
  <w:style w:type="paragraph" w:customStyle="1" w:styleId="Border">
    <w:name w:val="Border"/>
    <w:basedOn w:val="Normal"/>
    <w:qFormat/>
    <w:rsid w:val="001B10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0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0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0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0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0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0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0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0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045"/>
    <w:rPr>
      <w:u w:val="single"/>
    </w:rPr>
  </w:style>
  <w:style w:type="character" w:customStyle="1" w:styleId="BoldandItalics">
    <w:name w:val="Bold and Italics"/>
    <w:qFormat/>
    <w:rsid w:val="001B1045"/>
    <w:rPr>
      <w:b/>
      <w:i/>
      <w:u w:val="none"/>
    </w:rPr>
  </w:style>
  <w:style w:type="paragraph" w:styleId="BalloonText">
    <w:name w:val="Balloon Text"/>
    <w:basedOn w:val="Normal"/>
    <w:link w:val="BalloonTextChar"/>
    <w:rsid w:val="001B1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0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0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0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0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0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045"/>
    <w:pPr>
      <w:spacing w:before="0" w:after="0"/>
    </w:pPr>
  </w:style>
  <w:style w:type="paragraph" w:customStyle="1" w:styleId="BodyTextBold">
    <w:name w:val="Body Text Bold"/>
    <w:basedOn w:val="BodyText"/>
    <w:qFormat/>
    <w:rsid w:val="001B1045"/>
    <w:rPr>
      <w:b/>
    </w:rPr>
  </w:style>
  <w:style w:type="character" w:styleId="Hyperlink">
    <w:name w:val="Hyperlink"/>
    <w:basedOn w:val="DefaultParagraphFont"/>
    <w:uiPriority w:val="99"/>
    <w:unhideWhenUsed/>
    <w:rsid w:val="00300B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2412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MSL973014 Prepare working solutions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2025-02-21T07:26:00Z</dcterms:created>
  <dcterms:modified xsi:type="dcterms:W3CDTF">2025-02-21T07:26:00Z</dcterms:modified>
</cp:coreProperties>
</file>