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B20" w:rsidP="00F55B20">
      <w:pPr>
        <w:pStyle w:val="Title"/>
      </w:pPr>
      <w:r>
        <w:fldChar w:fldCharType="begin"/>
      </w:r>
      <w:r>
        <w:instrText xml:space="preserve"> TITLE   \* MERGEFORMAT </w:instrText>
      </w:r>
      <w:r>
        <w:fldChar w:fldCharType="separate"/>
      </w:r>
      <w:r>
        <w:t>MSL973011 Perform fire pouring techniques</w:t>
      </w:r>
      <w:r>
        <w:fldChar w:fldCharType="end"/>
      </w:r>
    </w:p>
    <w:p w:rsidR="00F55B20" w:rsidP="00F55B20">
      <w:pPr>
        <w:pStyle w:val="Version"/>
        <w:sectPr w:rsidSect="00B351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159" w:rsidP="00B35159">
      <w:pPr>
        <w:pStyle w:val="SuperHeading"/>
      </w:pPr>
      <w:r w:rsidRPr="00B35159">
        <w:t>MSL973011 Perform fire pouring techniques</w:t>
      </w:r>
    </w:p>
    <w:p w:rsidR="00000000" w:rsidRPr="00B35159" w:rsidP="00B35159">
      <w:pPr>
        <w:pStyle w:val="Heading1"/>
      </w:pPr>
      <w:bookmarkStart w:id="1" w:name="O_899355"/>
      <w:bookmarkEnd w:id="1"/>
      <w:r w:rsidRPr="00B35159">
        <w:t>Modification History</w:t>
      </w:r>
    </w:p>
    <w:p w:rsidR="00000000" w:rsidRPr="00B35159" w:rsidP="00B35159">
      <w:pPr>
        <w:pStyle w:val="BodyText"/>
      </w:pPr>
      <w:r w:rsidRPr="00B35159">
        <w:t>Release 1. Supersedes and is equivalent to MSL973011A Perform fire pouring techniques</w:t>
      </w:r>
    </w:p>
    <w:p w:rsidR="00000000" w:rsidRPr="00B35159" w:rsidP="00B35159">
      <w:pPr>
        <w:pStyle w:val="AllowPageBreak"/>
      </w:pPr>
    </w:p>
    <w:p w:rsidR="00000000" w:rsidRPr="00B35159" w:rsidP="00B35159">
      <w:pPr>
        <w:pStyle w:val="Heading1"/>
      </w:pPr>
      <w:bookmarkStart w:id="2" w:name="O_899363"/>
      <w:bookmarkEnd w:id="2"/>
      <w:r w:rsidRPr="00B35159">
        <w:t>Application</w:t>
      </w:r>
    </w:p>
    <w:p w:rsidR="00000000" w:rsidRPr="00B35159" w:rsidP="00B35159">
      <w:pPr>
        <w:pStyle w:val="BodyText"/>
      </w:pPr>
      <w:r w:rsidRPr="00B35159">
        <w:t xml:space="preserve">This unit of competency covers the ability to follow standard procedures for extracting precious metals from their host </w:t>
      </w:r>
      <w:r w:rsidRPr="00B35159">
        <w:t>matrices in readiness for analysis. Fire pourers are expected to handle routine samples, recognise common sample preparation and cupellation problems and make standard adjustments to fluxes and firings. They are expected to seek advice from their superviso</w:t>
      </w:r>
      <w:r w:rsidRPr="00B35159">
        <w:t>r when non-routine problems arise.</w:t>
      </w:r>
    </w:p>
    <w:p w:rsidR="00000000" w:rsidRPr="00B35159" w:rsidP="00B35159">
      <w:pPr>
        <w:pStyle w:val="BodyText"/>
      </w:pPr>
    </w:p>
    <w:p w:rsidR="00000000" w:rsidRPr="00B35159" w:rsidP="00B35159">
      <w:pPr>
        <w:pStyle w:val="BodyText"/>
      </w:pPr>
      <w:r w:rsidRPr="00B35159">
        <w:t>This unit of competency is applicable to laboratory personnel working in the mineral assay industry sector.</w:t>
      </w:r>
    </w:p>
    <w:p w:rsidR="00000000" w:rsidRPr="00B35159" w:rsidP="00B35159">
      <w:pPr>
        <w:pStyle w:val="BodyText"/>
      </w:pPr>
    </w:p>
    <w:p w:rsidR="00000000" w:rsidRPr="00B35159" w:rsidP="00B35159">
      <w:pPr>
        <w:pStyle w:val="BodyText"/>
      </w:pPr>
      <w:r w:rsidRPr="00B35159">
        <w:t>While no specific licensing or certification requirements apply to this unit at the time of publication, labora</w:t>
      </w:r>
      <w:r w:rsidRPr="00B35159">
        <w:t>tory operations are governed by relevant legislation, regulations and/or external accreditation requirements. Local requirements should be checked.</w:t>
      </w:r>
    </w:p>
    <w:p w:rsidR="00000000" w:rsidRPr="00B35159" w:rsidP="00B35159">
      <w:pPr>
        <w:pStyle w:val="AllowPageBreak"/>
      </w:pPr>
    </w:p>
    <w:p w:rsidR="00000000" w:rsidRPr="00B35159" w:rsidP="00B35159">
      <w:pPr>
        <w:pStyle w:val="Heading1"/>
      </w:pPr>
      <w:bookmarkStart w:id="3" w:name="O_899362"/>
      <w:bookmarkEnd w:id="3"/>
      <w:r w:rsidRPr="00B35159">
        <w:t>Pre-requisite Unit</w:t>
      </w:r>
    </w:p>
    <w:p w:rsidR="00000000" w:rsidRPr="00B35159" w:rsidP="00B35159">
      <w:pPr>
        <w:pStyle w:val="BodyText"/>
      </w:pPr>
      <w:r w:rsidRPr="00B35159">
        <w:t>Nil</w:t>
      </w:r>
    </w:p>
    <w:p w:rsidR="00000000" w:rsidRPr="00B35159" w:rsidP="00B35159">
      <w:pPr>
        <w:pStyle w:val="AllowPageBreak"/>
      </w:pPr>
    </w:p>
    <w:p w:rsidR="00000000" w:rsidRPr="00B35159" w:rsidP="00B35159">
      <w:pPr>
        <w:pStyle w:val="Heading1"/>
      </w:pPr>
      <w:bookmarkStart w:id="4" w:name="O_899361"/>
      <w:bookmarkEnd w:id="4"/>
      <w:r w:rsidRPr="00B35159">
        <w:t>Competency Field</w:t>
      </w:r>
    </w:p>
    <w:p w:rsidR="00000000" w:rsidRPr="00B35159" w:rsidP="00B35159">
      <w:pPr>
        <w:pStyle w:val="BodyText"/>
      </w:pPr>
      <w:r w:rsidRPr="00B35159">
        <w:t>Testing</w:t>
      </w:r>
    </w:p>
    <w:p w:rsidR="00000000" w:rsidRPr="00B35159" w:rsidP="00B35159">
      <w:pPr>
        <w:pStyle w:val="AllowPageBreak"/>
      </w:pPr>
    </w:p>
    <w:p w:rsidR="00000000" w:rsidRPr="00B35159" w:rsidP="00B35159">
      <w:pPr>
        <w:pStyle w:val="Heading1"/>
      </w:pPr>
      <w:bookmarkStart w:id="5" w:name="O_899360"/>
      <w:bookmarkEnd w:id="5"/>
      <w:r w:rsidRPr="00B35159">
        <w:t>Unit Sect</w:t>
      </w:r>
      <w:r w:rsidRPr="00B35159">
        <w:t>or</w:t>
      </w:r>
    </w:p>
    <w:p w:rsidR="00000000" w:rsidRPr="00B35159" w:rsidP="00B35159">
      <w:pPr>
        <w:pStyle w:val="Heading1"/>
      </w:pPr>
      <w:bookmarkStart w:id="6" w:name="O_899359"/>
      <w:bookmarkEnd w:id="6"/>
      <w:r w:rsidRPr="00B3515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3515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Performance criteria describe the performance needed to demonstrate achievement of the element.</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5159" w:rsidP="00B35159">
            <w:pPr>
              <w:pStyle w:val="BodyText"/>
            </w:pPr>
            <w:r w:rsidRPr="00B35159">
              <w:t>1</w:t>
            </w:r>
          </w:p>
        </w:tc>
        <w:tc>
          <w:tcPr>
            <w:tcW w:w="1962" w:type="dxa"/>
            <w:vMerge w:val="restart"/>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rPr>
                <w:rStyle w:val="SpecialBold"/>
              </w:rPr>
              <w:t>Plan work for shift</w:t>
            </w: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1.1</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Review job requests to identify the samples, preparation methods required for each, and shift priorities</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1.2</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Identify hazards, safety equipment/procedures associated with samples, preparation methods, reagents and equipment</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1.3</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 xml:space="preserve">Plan parallel work sequences to optimise the throughput </w:t>
            </w:r>
            <w:r w:rsidRPr="00B35159">
              <w:t>of multiple sets of samples during shift</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1.4</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Assemble all required equipment, materials, reagents and check they are fit for purpose</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1.5</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Check pots and cupels and discard those with faults and/o</w:t>
            </w:r>
            <w:r w:rsidRPr="00B35159">
              <w:t>r a record of high gold values</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1.6</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Check that fusion and muffle furnaces are operating at the specified temperatures</w:t>
            </w:r>
          </w:p>
        </w:tc>
      </w:tr>
      <w:tr w:rsidTr="00B351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5159">
            <w:pPr>
              <w:pStyle w:val="BodyText"/>
              <w:rPr>
                <w:lang w:val="en-NZ"/>
              </w:rPr>
            </w:pP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5159" w:rsidP="00B35159">
            <w:pPr>
              <w:pStyle w:val="BodyText"/>
            </w:pPr>
            <w:r w:rsidRPr="00B35159">
              <w:t>2</w:t>
            </w:r>
          </w:p>
        </w:tc>
        <w:tc>
          <w:tcPr>
            <w:tcW w:w="1962" w:type="dxa"/>
            <w:vMerge w:val="restart"/>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rPr>
                <w:rStyle w:val="SpecialBold"/>
              </w:rPr>
              <w:t>Prepare sample racks for fusion</w:t>
            </w: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2.1</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Check samples against accompanying documentation and record/report any discrepancies</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2.2</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Conduct simple visual/chemical tests for each sample to assess the adequacy of prior sample preparation and possible presence of sulphides or other mineralogy</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2.3</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Weigh out the recommended amount of sample and add specified identifier to maintain orientation, as necessary</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2.4</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Weigh out flux components, mix thoroughly with the sample charge and transfer to recommended type and size of pot without loss of material</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2.5</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Place pots in racks</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2.6</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Record all required details of sample preparation to ensure traceability of samples</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2.7</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Seek advice to deal with any situation beyond scope of responsibility or knowledge</w:t>
            </w:r>
          </w:p>
        </w:tc>
      </w:tr>
      <w:tr w:rsidTr="00B351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5159">
            <w:pPr>
              <w:pStyle w:val="BodyText"/>
              <w:rPr>
                <w:lang w:val="en-NZ"/>
              </w:rPr>
            </w:pP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5159" w:rsidP="00B35159">
            <w:pPr>
              <w:pStyle w:val="BodyText"/>
            </w:pPr>
            <w:r w:rsidRPr="00B35159">
              <w:t>3</w:t>
            </w:r>
          </w:p>
        </w:tc>
        <w:tc>
          <w:tcPr>
            <w:tcW w:w="1962" w:type="dxa"/>
            <w:vMerge w:val="restart"/>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rPr>
                <w:rStyle w:val="SpecialBold"/>
              </w:rPr>
              <w:t>Obtain acceptable buttons and prills</w:t>
            </w: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3.1</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Maintain sequencing in order to track samples, buttons and prills throughout the recovery process</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3.2</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Monitor furnace temperature/time to ensure complete sample fusion</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3.3</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Remove fused samples from furnace and pour into moulds with minimal loss of material</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3.4</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Recognise the need for repeat firings due to lead shotting and/or poor fusions</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3.5</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Separate slag and button with minimal loss of collector</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3.6</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Inspect buttons for matte, brittleness, size and malformed shape</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3.7</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Place acceptable buttons in muffle furnace using cupels that have been previously loaded and preheated</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3.8</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Regularly monitor furnace temperature/time/air flow to ensure efficient cu</w:t>
            </w:r>
            <w:r w:rsidRPr="00B35159">
              <w:t>pellation</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3.9</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Recover prills, check identifiers and inspect for contamination, losses and evidence of other precious metals (e.g. high gold, Platinum and Palladium)</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3.10</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Complete and collate sample records before presenting prills for analysis</w:t>
            </w:r>
          </w:p>
        </w:tc>
      </w:tr>
      <w:tr w:rsidTr="00B351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5159">
            <w:pPr>
              <w:pStyle w:val="BodyText"/>
              <w:rPr>
                <w:lang w:val="en-NZ"/>
              </w:rPr>
            </w:pP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5159" w:rsidP="00B35159">
            <w:pPr>
              <w:pStyle w:val="BodyText"/>
            </w:pPr>
            <w:r w:rsidRPr="00B35159">
              <w:t>4</w:t>
            </w:r>
          </w:p>
        </w:tc>
        <w:tc>
          <w:tcPr>
            <w:tcW w:w="1962" w:type="dxa"/>
            <w:vMerge w:val="restart"/>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rPr>
                <w:rStyle w:val="SpecialBold"/>
              </w:rPr>
              <w:t>Troubleshoot and correct common recovery failures</w:t>
            </w: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4.1</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Monitor all stages of recovery for indicators of potential loss</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4.2</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 xml:space="preserve">Recognise undesirable recovery conditions and decide whether the process requires correction </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4.3</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Apply an established corrective action and restart the process</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4.4</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Document any adjustments made to standard methods and re-sequencing of samples</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4.5</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Seek advice when problems are beyond scope of responsibility or knowledge</w:t>
            </w:r>
          </w:p>
        </w:tc>
      </w:tr>
      <w:tr w:rsidTr="00B351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5159">
            <w:pPr>
              <w:pStyle w:val="BodyText"/>
              <w:rPr>
                <w:lang w:val="en-NZ"/>
              </w:rPr>
            </w:pP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5159" w:rsidP="00B35159">
            <w:pPr>
              <w:pStyle w:val="BodyText"/>
            </w:pPr>
            <w:r w:rsidRPr="00B35159">
              <w:t>5</w:t>
            </w:r>
          </w:p>
        </w:tc>
        <w:tc>
          <w:tcPr>
            <w:tcW w:w="1962" w:type="dxa"/>
            <w:vMerge w:val="restart"/>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rPr>
                <w:rStyle w:val="SpecialBold"/>
              </w:rPr>
              <w:t>Perform daily maintenance of assay equipment</w:t>
            </w: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5.1</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Grade and inspect pots using established criteria prior to storage for re-use</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5.2</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Report defective equipment and consumable requirements to appropriate personnel</w:t>
            </w:r>
          </w:p>
        </w:tc>
      </w:tr>
      <w:tr w:rsidTr="00B351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5159">
            <w:pPr>
              <w:pStyle w:val="BodyText"/>
              <w:rPr>
                <w:lang w:val="en-NZ"/>
              </w:rPr>
            </w:pP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5159" w:rsidP="00B35159">
            <w:pPr>
              <w:pStyle w:val="BodyText"/>
            </w:pPr>
            <w:r w:rsidRPr="00B35159">
              <w:t>6</w:t>
            </w:r>
          </w:p>
        </w:tc>
        <w:tc>
          <w:tcPr>
            <w:tcW w:w="1962" w:type="dxa"/>
            <w:vMerge w:val="restart"/>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6.1</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Use safe work procedures and personal protective equipment (PPE) to ensure personal safety and that of others</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6.2</w:t>
            </w:r>
          </w:p>
        </w:tc>
        <w:tc>
          <w:tcPr>
            <w:tcW w:w="561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Minimise the release of collectors to the work environment</w:t>
            </w:r>
          </w:p>
        </w:tc>
      </w:tr>
      <w:tr w:rsidTr="00B351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6.3</w:t>
            </w:r>
          </w:p>
        </w:tc>
        <w:tc>
          <w:tcPr>
            <w:tcW w:w="5610" w:type="dxa"/>
            <w:tcBorders>
              <w:top w:val="nil"/>
              <w:left w:val="nil"/>
              <w:bottom w:val="nil"/>
              <w:right w:val="nil"/>
            </w:tcBorders>
            <w:tcMar>
              <w:top w:w="0" w:type="dxa"/>
              <w:left w:w="62" w:type="dxa"/>
              <w:bottom w:w="0" w:type="dxa"/>
              <w:right w:w="62" w:type="dxa"/>
            </w:tcMar>
          </w:tcPr>
          <w:p w:rsidR="00000000" w:rsidRPr="00B35159" w:rsidP="00B35159">
            <w:pPr>
              <w:pStyle w:val="BodyText"/>
            </w:pPr>
            <w:r w:rsidRPr="00B35159">
              <w:t>Segregate and dispose of waste in accordance with workplace requirements</w:t>
            </w:r>
          </w:p>
        </w:tc>
      </w:tr>
    </w:tbl>
    <w:p w:rsidR="00000000" w:rsidRPr="00B35159" w:rsidP="00B35159">
      <w:pPr>
        <w:pStyle w:val="BodyText"/>
      </w:pPr>
    </w:p>
    <w:p w:rsidR="00000000" w:rsidRPr="00B35159" w:rsidP="00B35159">
      <w:pPr>
        <w:pStyle w:val="AllowPageBreak"/>
      </w:pPr>
    </w:p>
    <w:p w:rsidR="00000000" w:rsidRPr="00B35159" w:rsidP="00B35159">
      <w:pPr>
        <w:pStyle w:val="Heading1"/>
      </w:pPr>
      <w:bookmarkStart w:id="7" w:name="O_899358"/>
      <w:bookmarkEnd w:id="7"/>
      <w:r w:rsidRPr="00B35159">
        <w:t>Foundation Skills</w:t>
      </w:r>
    </w:p>
    <w:p w:rsidR="00000000" w:rsidRPr="00B35159" w:rsidP="00B35159">
      <w:pPr>
        <w:pStyle w:val="BodyText"/>
      </w:pPr>
      <w:r w:rsidRPr="00B35159">
        <w:t>This section describes those language, literacy, numeracy and employment skills that are essential to performance.</w:t>
      </w:r>
    </w:p>
    <w:p w:rsidR="00000000" w:rsidRPr="00B35159" w:rsidP="00B35159">
      <w:pPr>
        <w:pStyle w:val="BodyText"/>
      </w:pPr>
    </w:p>
    <w:p w:rsidR="00000000" w:rsidRPr="00B35159" w:rsidP="00B35159">
      <w:pPr>
        <w:pStyle w:val="BodyText"/>
      </w:pPr>
      <w:r w:rsidRPr="00B35159">
        <w:t>Foundation skills essential to</w:t>
      </w:r>
      <w:r w:rsidRPr="00B35159">
        <w:t xml:space="preserve"> performance are explicit in the performance criteria of this unit of competency.</w:t>
      </w:r>
    </w:p>
    <w:p w:rsidR="00000000" w:rsidRPr="00B35159" w:rsidP="00B35159">
      <w:pPr>
        <w:pStyle w:val="AllowPageBreak"/>
      </w:pPr>
    </w:p>
    <w:p w:rsidR="00000000" w:rsidRPr="00B35159" w:rsidP="00B35159">
      <w:pPr>
        <w:pStyle w:val="Heading1"/>
      </w:pPr>
      <w:bookmarkStart w:id="8" w:name="O_899357"/>
      <w:bookmarkEnd w:id="8"/>
      <w:r w:rsidRPr="00B35159">
        <w:t>Range of Conditions</w:t>
      </w:r>
    </w:p>
    <w:tbl>
      <w:tblPr>
        <w:tblW w:w="0" w:type="auto"/>
        <w:tblCellMar>
          <w:left w:w="62" w:type="dxa"/>
          <w:right w:w="62" w:type="dxa"/>
        </w:tblCellMar>
        <w:tblLook w:val="0000"/>
      </w:tblPr>
      <w:tblGrid>
        <w:gridCol w:w="2319"/>
        <w:gridCol w:w="6877"/>
      </w:tblGrid>
      <w:tr w:rsidTr="00F55B2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t xml:space="preserve">This field allows for different work environments and conditions that may affect performance. Essential operating conditions that may be </w:t>
            </w:r>
            <w:r w:rsidRPr="00B35159">
              <w:t>present (depending on the work situation, needs of the candidate, accessibility of the item, and local industry and regional contexts) are included.</w:t>
            </w:r>
          </w:p>
        </w:tc>
      </w:tr>
      <w:tr w:rsidTr="00F55B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B35159" w:rsidP="00B35159">
            <w:pPr>
              <w:pStyle w:val="BodyText"/>
            </w:pPr>
            <w:r w:rsidRPr="00B35159">
              <w:t>Standards, codes, procedures and/or workplace requirements include the latest version of one or more of:</w:t>
            </w:r>
          </w:p>
          <w:p w:rsidR="00000000" w:rsidRPr="00B35159" w:rsidP="00B35159">
            <w:pPr>
              <w:pStyle w:val="ListBullet"/>
            </w:pPr>
            <w:r w:rsidRPr="00B35159">
              <w:t>Australian and international standards covering the requirements for the competence of testing and calibration laboratories; laboratory safety; qualit</w:t>
            </w:r>
            <w:r w:rsidRPr="00B35159">
              <w:t>y management and environmental management; analysis of specific ores and determination of gold; and labelling, storage, handling and transport of hazardous materials</w:t>
            </w:r>
          </w:p>
          <w:p w:rsidR="00000000" w:rsidRPr="00B35159" w:rsidP="00B35159">
            <w:pPr>
              <w:pStyle w:val="ListBullet"/>
            </w:pPr>
            <w:r w:rsidRPr="00B35159">
              <w:t>national work health and safety (WHS) standards and codes of practice, national environmen</w:t>
            </w:r>
            <w:r w:rsidRPr="00B35159">
              <w:t>tal protection measures, and national measurement regulations and guidelines</w:t>
            </w:r>
          </w:p>
          <w:p w:rsidR="00000000" w:rsidRPr="00B35159" w:rsidP="00B35159">
            <w:pPr>
              <w:pStyle w:val="ListBullet"/>
            </w:pPr>
            <w:r w:rsidRPr="00B35159">
              <w:t>specific codes, guidelines and procedures, such as National Association of Testing Authorities (NATA) accreditation requirements and principles of good laboratory practice (GLP)</w:t>
            </w:r>
          </w:p>
          <w:p w:rsidR="00000000" w:rsidRPr="00B35159" w:rsidP="00B35159">
            <w:pPr>
              <w:pStyle w:val="ListBullet"/>
            </w:pPr>
            <w:r w:rsidRPr="00B35159">
              <w:t>w</w:t>
            </w:r>
            <w:r w:rsidRPr="00B35159">
              <w:t>orkplace documents, such as standard operating procedures (SOPs); quality and equipment manuals; maintenance schedules; material safety data sheets (MSDS) and safety procedures; material, production and product specifications; production and laboratory sch</w:t>
            </w:r>
            <w:r w:rsidRPr="00B35159">
              <w:t>edules; workplace recording and reporting procedures; and waste minimisation and safe disposal procedures</w:t>
            </w:r>
          </w:p>
          <w:p w:rsidR="00000000" w:rsidRPr="00B35159" w:rsidP="00B35159">
            <w:pPr>
              <w:pStyle w:val="ListBullet"/>
            </w:pPr>
            <w:r w:rsidRPr="00B35159">
              <w:t>recovery methods and procedures for specific samples, sites and clients (labelling, preparation, storage, transport and disposal), and published prepa</w:t>
            </w:r>
            <w:r w:rsidRPr="00B35159">
              <w:t>ration methods</w:t>
            </w:r>
          </w:p>
          <w:p w:rsidR="00000000" w:rsidP="00B35159">
            <w:pPr>
              <w:pStyle w:val="BodyText"/>
              <w:rPr>
                <w:lang w:val="en-NZ"/>
              </w:rPr>
            </w:pPr>
          </w:p>
        </w:tc>
      </w:tr>
      <w:tr w:rsidTr="00F55B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rPr>
                <w:rStyle w:val="SpecialBold"/>
              </w:rPr>
              <w:t xml:space="preserve">Samples </w:t>
            </w:r>
          </w:p>
        </w:tc>
        <w:tc>
          <w:tcPr>
            <w:tcW w:w="0" w:type="auto"/>
            <w:tcBorders>
              <w:top w:val="nil"/>
              <w:left w:val="nil"/>
              <w:bottom w:val="nil"/>
              <w:right w:val="nil"/>
            </w:tcBorders>
            <w:tcMar>
              <w:top w:w="0" w:type="dxa"/>
              <w:left w:w="62" w:type="dxa"/>
              <w:bottom w:w="0" w:type="dxa"/>
              <w:right w:w="62" w:type="dxa"/>
            </w:tcMar>
          </w:tcPr>
          <w:p w:rsidR="00000000" w:rsidRPr="00B35159" w:rsidP="00B35159">
            <w:pPr>
              <w:pStyle w:val="BodyText"/>
            </w:pPr>
            <w:r w:rsidRPr="00B35159">
              <w:t>Samples include, but are not limited to, one or more of:</w:t>
            </w:r>
          </w:p>
          <w:p w:rsidR="00000000" w:rsidRPr="00B35159" w:rsidP="00B35159">
            <w:pPr>
              <w:pStyle w:val="ListBullet"/>
            </w:pPr>
            <w:r w:rsidRPr="00B35159">
              <w:t>solids, such as rocks, minerals, soils, sands and stream sediments</w:t>
            </w:r>
          </w:p>
          <w:p w:rsidR="00000000" w:rsidRPr="00B35159" w:rsidP="00B35159">
            <w:pPr>
              <w:pStyle w:val="ListBullet"/>
            </w:pPr>
            <w:r w:rsidRPr="00B35159">
              <w:t>core and other drill samples (e.g. rotary air blast (RAB), reverse circulation (RC) and aircore)</w:t>
            </w:r>
          </w:p>
          <w:p w:rsidR="00000000" w:rsidRPr="00B35159" w:rsidP="00B35159">
            <w:pPr>
              <w:pStyle w:val="ListBullet"/>
            </w:pPr>
            <w:r w:rsidRPr="00B35159">
              <w:t>slurries, powder concentrates and metallurgical solutions</w:t>
            </w:r>
          </w:p>
          <w:p w:rsidR="00000000" w:rsidRPr="00B35159" w:rsidP="00B35159">
            <w:pPr>
              <w:pStyle w:val="ListBullet"/>
            </w:pPr>
            <w:r w:rsidRPr="00B35159">
              <w:t>dump samples and grab samples</w:t>
            </w:r>
          </w:p>
          <w:p w:rsidR="00000000" w:rsidP="00B35159">
            <w:pPr>
              <w:pStyle w:val="BodyText"/>
              <w:rPr>
                <w:lang w:val="en-NZ"/>
              </w:rPr>
            </w:pPr>
          </w:p>
        </w:tc>
      </w:tr>
      <w:tr w:rsidTr="00F55B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rPr>
                <w:rStyle w:val="SpecialBold"/>
              </w:rPr>
              <w:t xml:space="preserve">Sequencing of pots in a rack </w:t>
            </w:r>
          </w:p>
        </w:tc>
        <w:tc>
          <w:tcPr>
            <w:tcW w:w="0" w:type="auto"/>
            <w:tcBorders>
              <w:top w:val="nil"/>
              <w:left w:val="nil"/>
              <w:bottom w:val="nil"/>
              <w:right w:val="nil"/>
            </w:tcBorders>
            <w:tcMar>
              <w:top w:w="0" w:type="dxa"/>
              <w:left w:w="62" w:type="dxa"/>
              <w:bottom w:w="0" w:type="dxa"/>
              <w:right w:w="62" w:type="dxa"/>
            </w:tcMar>
          </w:tcPr>
          <w:p w:rsidR="00000000" w:rsidRPr="00B35159" w:rsidP="00B35159">
            <w:pPr>
              <w:pStyle w:val="BodyText"/>
            </w:pPr>
            <w:r w:rsidRPr="00B35159">
              <w:t>Sequencing of pots in a rack includes, but is not limited to, or more of:</w:t>
            </w:r>
          </w:p>
          <w:p w:rsidR="00000000" w:rsidRPr="00B35159" w:rsidP="00B35159">
            <w:pPr>
              <w:pStyle w:val="ListBullet"/>
            </w:pPr>
            <w:r w:rsidRPr="00B35159">
              <w:t>addition of silver wire or silver nitrate (AGNO</w:t>
            </w:r>
            <w:r w:rsidRPr="00B35159">
              <w:rPr>
                <w:rStyle w:val="Subscript"/>
              </w:rPr>
              <w:t>3</w:t>
            </w:r>
            <w:r w:rsidRPr="00B35159">
              <w:t>) mix</w:t>
            </w:r>
          </w:p>
          <w:p w:rsidR="00000000" w:rsidRPr="00B35159" w:rsidP="00B35159">
            <w:pPr>
              <w:pStyle w:val="ListBullet"/>
            </w:pPr>
            <w:r w:rsidRPr="00B35159">
              <w:t>additio</w:t>
            </w:r>
            <w:r w:rsidRPr="00B35159">
              <w:t>n of coloured salts (e.g. copper sulphate CuSO</w:t>
            </w:r>
            <w:r w:rsidRPr="00B35159">
              <w:rPr>
                <w:rStyle w:val="Subscript"/>
              </w:rPr>
              <w:t>4</w:t>
            </w:r>
            <w:r w:rsidRPr="00B35159">
              <w:t>)</w:t>
            </w:r>
          </w:p>
          <w:p w:rsidR="00000000" w:rsidP="00B35159">
            <w:pPr>
              <w:pStyle w:val="BodyText"/>
              <w:rPr>
                <w:lang w:val="en-NZ"/>
              </w:rPr>
            </w:pPr>
          </w:p>
        </w:tc>
      </w:tr>
      <w:tr w:rsidTr="00F55B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rPr>
                <w:rStyle w:val="SpecialBold"/>
              </w:rPr>
              <w:t xml:space="preserve">Separation of collectors </w:t>
            </w:r>
          </w:p>
        </w:tc>
        <w:tc>
          <w:tcPr>
            <w:tcW w:w="0" w:type="auto"/>
            <w:tcBorders>
              <w:top w:val="nil"/>
              <w:left w:val="nil"/>
              <w:bottom w:val="nil"/>
              <w:right w:val="nil"/>
            </w:tcBorders>
            <w:tcMar>
              <w:top w:w="0" w:type="dxa"/>
              <w:left w:w="62" w:type="dxa"/>
              <w:bottom w:w="0" w:type="dxa"/>
              <w:right w:w="62" w:type="dxa"/>
            </w:tcMar>
          </w:tcPr>
          <w:p w:rsidR="00000000" w:rsidRPr="00B35159" w:rsidP="00B35159">
            <w:pPr>
              <w:pStyle w:val="BodyText"/>
            </w:pPr>
            <w:r w:rsidRPr="00B35159">
              <w:t>Separation of collectors includes, but is not limited to, one or more of:</w:t>
            </w:r>
          </w:p>
          <w:p w:rsidR="00000000" w:rsidRPr="00B35159" w:rsidP="00B35159">
            <w:pPr>
              <w:pStyle w:val="ListBullet"/>
            </w:pPr>
            <w:r w:rsidRPr="00B35159">
              <w:t>cupellation; digestion; and/or parting, annealing and weighing for a gravimetric finish</w:t>
            </w:r>
          </w:p>
          <w:p w:rsidR="00000000" w:rsidP="00B35159">
            <w:pPr>
              <w:pStyle w:val="ListBullet"/>
              <w:rPr>
                <w:lang w:val="en-NZ"/>
              </w:rPr>
            </w:pPr>
          </w:p>
        </w:tc>
      </w:tr>
      <w:tr w:rsidTr="00F55B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B35159" w:rsidP="00B35159">
            <w:pPr>
              <w:pStyle w:val="BodyText"/>
            </w:pPr>
            <w:r w:rsidRPr="00B35159">
              <w:t>Hazards include, but are not limited to, one or more of:</w:t>
            </w:r>
          </w:p>
          <w:p w:rsidR="00000000" w:rsidRPr="00B35159" w:rsidP="00B35159">
            <w:pPr>
              <w:pStyle w:val="ListBullet"/>
            </w:pPr>
            <w:r w:rsidRPr="00B35159">
              <w:t>dust, silica, slag, glass shards and molten flux</w:t>
            </w:r>
          </w:p>
          <w:p w:rsidR="00000000" w:rsidRPr="00B35159" w:rsidP="00B35159">
            <w:pPr>
              <w:pStyle w:val="ListBullet"/>
            </w:pPr>
            <w:r w:rsidRPr="00B35159">
              <w:t>chemicals, such as hydrofluoric acid, bromine, perchloric acid, aqua regia, cyanide, lead-based compounds, free-mercury and nickel compounds</w:t>
            </w:r>
          </w:p>
          <w:p w:rsidR="00000000" w:rsidRPr="00B35159" w:rsidP="00B35159">
            <w:pPr>
              <w:pStyle w:val="ListBullet"/>
            </w:pPr>
            <w:r w:rsidRPr="00B35159">
              <w:t>noise an</w:t>
            </w:r>
            <w:r w:rsidRPr="00B35159">
              <w:t>d vibration</w:t>
            </w:r>
          </w:p>
          <w:p w:rsidR="00000000" w:rsidRPr="00B35159" w:rsidP="00B35159">
            <w:pPr>
              <w:pStyle w:val="ListBullet"/>
            </w:pPr>
            <w:r w:rsidRPr="00B35159">
              <w:t>crushing, entanglement and cuts associated with moving machinery</w:t>
            </w:r>
          </w:p>
          <w:p w:rsidR="00000000" w:rsidRPr="00B35159" w:rsidP="00B35159">
            <w:pPr>
              <w:pStyle w:val="ListBullet"/>
            </w:pPr>
            <w:r w:rsidRPr="00B35159">
              <w:t>manual handling of heavy loads, such as pots, racks and trolleys</w:t>
            </w:r>
          </w:p>
          <w:p w:rsidR="00000000" w:rsidRPr="00B35159" w:rsidP="00B35159">
            <w:pPr>
              <w:pStyle w:val="ListBullet"/>
            </w:pPr>
            <w:r w:rsidRPr="00B35159">
              <w:t>heat exhaustion/stress and fatigue</w:t>
            </w:r>
          </w:p>
          <w:p w:rsidR="00000000" w:rsidP="00B35159">
            <w:pPr>
              <w:pStyle w:val="BodyText"/>
              <w:rPr>
                <w:lang w:val="en-NZ"/>
              </w:rPr>
            </w:pPr>
          </w:p>
        </w:tc>
      </w:tr>
      <w:tr w:rsidTr="00F55B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rPr>
                <w:rStyle w:val="SpecialBold"/>
              </w:rPr>
              <w:t>Workplace safety procedures</w:t>
            </w:r>
          </w:p>
        </w:tc>
        <w:tc>
          <w:tcPr>
            <w:tcW w:w="0" w:type="auto"/>
            <w:tcBorders>
              <w:top w:val="nil"/>
              <w:left w:val="nil"/>
              <w:bottom w:val="nil"/>
              <w:right w:val="nil"/>
            </w:tcBorders>
            <w:tcMar>
              <w:top w:w="0" w:type="dxa"/>
              <w:left w:w="62" w:type="dxa"/>
              <w:bottom w:w="0" w:type="dxa"/>
              <w:right w:w="62" w:type="dxa"/>
            </w:tcMar>
          </w:tcPr>
          <w:p w:rsidR="00000000" w:rsidRPr="00B35159" w:rsidP="00B35159">
            <w:pPr>
              <w:pStyle w:val="BodyText"/>
            </w:pPr>
            <w:r w:rsidRPr="00B35159">
              <w:t xml:space="preserve">Workplace safety procedures include, but are not </w:t>
            </w:r>
            <w:r w:rsidRPr="00B35159">
              <w:t>limited to, one or more of:</w:t>
            </w:r>
          </w:p>
          <w:p w:rsidR="00000000" w:rsidRPr="00B35159" w:rsidP="00B35159">
            <w:pPr>
              <w:pStyle w:val="ListBullet"/>
            </w:pPr>
            <w:r w:rsidRPr="00B35159">
              <w:t>ensuring access to service shut-off points, fire-extinguishers/fire hoses, safety shower/eye wash stations and first aid stations</w:t>
            </w:r>
          </w:p>
          <w:p w:rsidR="00000000" w:rsidRPr="00B35159" w:rsidP="00B35159">
            <w:pPr>
              <w:pStyle w:val="ListBullet"/>
            </w:pPr>
            <w:r w:rsidRPr="00B35159">
              <w:t>recognising and observing hazard warnings and safety signs</w:t>
            </w:r>
          </w:p>
          <w:p w:rsidR="00000000" w:rsidRPr="00B35159" w:rsidP="00B35159">
            <w:pPr>
              <w:pStyle w:val="ListBullet"/>
            </w:pPr>
            <w:r w:rsidRPr="00B35159">
              <w:t>labelling samples, reagents and hazardous materials</w:t>
            </w:r>
          </w:p>
          <w:p w:rsidR="00000000" w:rsidRPr="00B35159" w:rsidP="00B35159">
            <w:pPr>
              <w:pStyle w:val="ListBullet"/>
            </w:pPr>
            <w:r w:rsidRPr="00B35159">
              <w:t>using direct extraction and fume hoods</w:t>
            </w:r>
          </w:p>
          <w:p w:rsidR="00000000" w:rsidRPr="00B35159" w:rsidP="00B35159">
            <w:pPr>
              <w:pStyle w:val="ListBullet"/>
            </w:pPr>
            <w:r w:rsidRPr="00B35159">
              <w:t>providing guards for moving machinery parts</w:t>
            </w:r>
          </w:p>
          <w:p w:rsidR="00000000" w:rsidRPr="00B35159" w:rsidP="00B35159">
            <w:pPr>
              <w:pStyle w:val="ListBullet"/>
            </w:pPr>
            <w:r w:rsidRPr="00B35159">
              <w:t>providing noise insulation</w:t>
            </w:r>
          </w:p>
          <w:p w:rsidR="00000000" w:rsidRPr="00B35159" w:rsidP="00B35159">
            <w:pPr>
              <w:pStyle w:val="ListBullet"/>
            </w:pPr>
            <w:r w:rsidRPr="00B35159">
              <w:t xml:space="preserve">using PPE, such as dust masks, heat-resistant mittens, safety face shields with tinted visor, </w:t>
            </w:r>
            <w:r w:rsidRPr="00B35159">
              <w:t xml:space="preserve">coats, ear muffs, safety boots, heat-reflective clothing and </w:t>
            </w:r>
            <w:r w:rsidRPr="00B35159">
              <w:t>latex gloves for flux handling</w:t>
            </w:r>
          </w:p>
          <w:p w:rsidR="00000000" w:rsidRPr="00B35159" w:rsidP="00B35159">
            <w:pPr>
              <w:pStyle w:val="ListBullet"/>
            </w:pPr>
            <w:r w:rsidRPr="00B35159">
              <w:t>following established manual handling procedures</w:t>
            </w:r>
          </w:p>
          <w:p w:rsidR="00000000" w:rsidRPr="00B35159" w:rsidP="00B35159">
            <w:pPr>
              <w:pStyle w:val="ListBullet"/>
            </w:pPr>
            <w:r w:rsidRPr="00B35159">
              <w:t>regularly cleaning equipment and work areas</w:t>
            </w:r>
          </w:p>
          <w:p w:rsidR="00000000" w:rsidRPr="00B35159" w:rsidP="00B35159">
            <w:pPr>
              <w:pStyle w:val="ListBullet"/>
            </w:pPr>
            <w:r w:rsidRPr="00B35159">
              <w:t>reporting abnormal emissions, discharges and airborne contaminants, suc</w:t>
            </w:r>
            <w:r w:rsidRPr="00B35159">
              <w:t>h as noise, light, solids, liquids, water/wastewater, gasses, smoke, vapour, fumes, odour and particulates, to appropriate personnel</w:t>
            </w:r>
          </w:p>
          <w:p w:rsidR="00000000" w:rsidP="00B35159">
            <w:pPr>
              <w:pStyle w:val="BodyText"/>
              <w:rPr>
                <w:lang w:val="en-NZ"/>
              </w:rPr>
            </w:pPr>
          </w:p>
        </w:tc>
      </w:tr>
      <w:tr w:rsidTr="00F55B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5159">
            <w:pPr>
              <w:pStyle w:val="BodyText"/>
              <w:rPr>
                <w:lang w:val="en-NZ"/>
              </w:rPr>
            </w:pPr>
            <w:r w:rsidRPr="00B35159">
              <w:rPr>
                <w:rStyle w:val="SpecialBold"/>
              </w:rPr>
              <w:t>WHS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B35159" w:rsidP="00B35159">
            <w:pPr>
              <w:pStyle w:val="BodyText"/>
            </w:pPr>
            <w:r w:rsidRPr="00B35159">
              <w:t>WHS and environmental management requirements include:</w:t>
            </w:r>
          </w:p>
          <w:p w:rsidR="00000000" w:rsidRPr="00B35159" w:rsidP="00B35159">
            <w:pPr>
              <w:pStyle w:val="BodyText"/>
            </w:pPr>
            <w:r w:rsidRPr="00B35159">
              <w:rPr>
                <w:rStyle w:val="Symbols"/>
              </w:rPr>
              <w:t></w:t>
            </w:r>
            <w:r w:rsidRPr="00B35159">
              <w:rPr>
                <w:rStyle w:val="Symbols"/>
              </w:rPr>
              <w:tab/>
            </w:r>
            <w:r w:rsidRPr="00B35159">
              <w:t>complying with WHS and environmental management requirements at all times, which may be imposed through state/territory or federal legislation. These requirements must not be compromised at any time</w:t>
            </w:r>
          </w:p>
          <w:p w:rsidR="00000000" w:rsidRPr="00B35159" w:rsidP="00B35159">
            <w:pPr>
              <w:pStyle w:val="BodyText"/>
            </w:pPr>
            <w:r w:rsidRPr="00B35159">
              <w:rPr>
                <w:rStyle w:val="Symbols"/>
              </w:rPr>
              <w:t></w:t>
            </w:r>
            <w:r w:rsidRPr="00B35159">
              <w:rPr>
                <w:rStyle w:val="Symbols"/>
              </w:rPr>
              <w:tab/>
            </w:r>
            <w:r w:rsidRPr="00B35159">
              <w:t>applying standard precautions relating to the potentially hazardous nature of samples</w:t>
            </w:r>
          </w:p>
          <w:p w:rsidR="00000000" w:rsidRPr="00B35159" w:rsidP="00B35159">
            <w:pPr>
              <w:pStyle w:val="BodyText"/>
            </w:pPr>
          </w:p>
        </w:tc>
      </w:tr>
    </w:tbl>
    <w:p w:rsidR="00000000" w:rsidRPr="00B35159" w:rsidP="00B35159">
      <w:pPr>
        <w:pStyle w:val="BodyText"/>
      </w:pPr>
    </w:p>
    <w:p w:rsidR="00000000" w:rsidRPr="00B35159" w:rsidP="00B35159">
      <w:pPr>
        <w:pStyle w:val="AllowPageBreak"/>
      </w:pPr>
    </w:p>
    <w:p w:rsidR="00000000" w:rsidRPr="00B35159" w:rsidP="00B35159">
      <w:pPr>
        <w:pStyle w:val="Heading1"/>
      </w:pPr>
      <w:bookmarkStart w:id="9" w:name="O_899356"/>
      <w:bookmarkEnd w:id="9"/>
      <w:r w:rsidRPr="00B35159">
        <w:t>Unit Mapping Information</w:t>
      </w:r>
    </w:p>
    <w:p w:rsidR="00000000" w:rsidRPr="00B35159" w:rsidP="00B35159">
      <w:pPr>
        <w:pStyle w:val="BodyText"/>
      </w:pPr>
      <w:r w:rsidRPr="00B35159">
        <w:t>Release 1. Supersedes and is equivalent to MSL973011A Perform fire pouring techniques</w:t>
      </w:r>
    </w:p>
    <w:p w:rsidR="00000000" w:rsidRPr="00B35159" w:rsidP="00B35159">
      <w:pPr>
        <w:pStyle w:val="AllowPageBreak"/>
      </w:pPr>
    </w:p>
    <w:p w:rsidR="00000000" w:rsidRPr="00B35159" w:rsidP="00B35159">
      <w:pPr>
        <w:pStyle w:val="Heading1"/>
      </w:pPr>
      <w:bookmarkStart w:id="10" w:name="O_899349"/>
      <w:bookmarkEnd w:id="10"/>
      <w:r w:rsidRPr="00B35159">
        <w:t>Links</w:t>
      </w:r>
    </w:p>
    <w:p w:rsidR="00000000" w:rsidRPr="00B35159" w:rsidP="00B35159">
      <w:pPr>
        <w:pStyle w:val="BodyText"/>
      </w:pPr>
      <w:r w:rsidRPr="00B35159">
        <w:t>MSA Training Pac</w:t>
      </w:r>
      <w:r w:rsidRPr="00B35159">
        <w:t>kage Implementation Guides - http://mskills.org.au/training-packages/info/</w:t>
      </w:r>
    </w:p>
    <w:p w:rsidR="00000000" w:rsidRPr="00B35159" w:rsidP="00B35159"/>
    <w:sectPr w:rsidSect="00B351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59" w:rsidRPr="00F55B20" w:rsidP="00F55B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20" w:rsidP="00B351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55B20" w:rsidP="00B3515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55B20" w:rsidP="00B351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59" w:rsidRPr="00F55B20" w:rsidP="00F55B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20" w:rsidRPr="002D2AF8" w:rsidP="00B35159">
    <w:pPr>
      <w:pStyle w:val="Header"/>
      <w:framePr w:wrap="around"/>
    </w:pPr>
    <w:r>
      <w:fldChar w:fldCharType="begin"/>
    </w:r>
    <w:r>
      <w:instrText xml:space="preserve"> TITLE   \* MERGEFORMAT </w:instrText>
    </w:r>
    <w:r>
      <w:fldChar w:fldCharType="separate"/>
    </w:r>
    <w:r>
      <w:t>MSL973011 Perform fire pouring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F55B20" w:rsidP="00B351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06BE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BC23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1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159"/>
    <w:pPr>
      <w:spacing w:before="360" w:after="60"/>
      <w:outlineLvl w:val="0"/>
    </w:pPr>
    <w:rPr>
      <w:sz w:val="32"/>
    </w:rPr>
  </w:style>
  <w:style w:type="paragraph" w:styleId="Heading2">
    <w:name w:val="heading 2"/>
    <w:basedOn w:val="HeadingBase"/>
    <w:next w:val="BodyText"/>
    <w:link w:val="Heading2Char"/>
    <w:qFormat/>
    <w:rsid w:val="00B35159"/>
    <w:pPr>
      <w:keepLines/>
      <w:spacing w:before="240" w:after="120"/>
      <w:outlineLvl w:val="1"/>
    </w:pPr>
    <w:rPr>
      <w:sz w:val="28"/>
      <w:szCs w:val="40"/>
    </w:rPr>
  </w:style>
  <w:style w:type="paragraph" w:styleId="Heading3">
    <w:name w:val="heading 3"/>
    <w:basedOn w:val="HeadingBase"/>
    <w:next w:val="BodyText"/>
    <w:link w:val="Heading3Char"/>
    <w:qFormat/>
    <w:rsid w:val="00B35159"/>
    <w:pPr>
      <w:spacing w:before="180" w:after="120"/>
      <w:outlineLvl w:val="2"/>
    </w:pPr>
    <w:rPr>
      <w:spacing w:val="-10"/>
      <w:kern w:val="32"/>
    </w:rPr>
  </w:style>
  <w:style w:type="paragraph" w:styleId="Heading4">
    <w:name w:val="heading 4"/>
    <w:basedOn w:val="HeadingBase"/>
    <w:next w:val="BodyText"/>
    <w:link w:val="Heading4Char"/>
    <w:qFormat/>
    <w:rsid w:val="00B35159"/>
    <w:pPr>
      <w:spacing w:before="160" w:after="120"/>
      <w:outlineLvl w:val="3"/>
    </w:pPr>
    <w:rPr>
      <w:sz w:val="22"/>
    </w:rPr>
  </w:style>
  <w:style w:type="paragraph" w:styleId="Heading5">
    <w:name w:val="heading 5"/>
    <w:basedOn w:val="HeadingBase"/>
    <w:next w:val="Normal"/>
    <w:link w:val="Heading5Char"/>
    <w:qFormat/>
    <w:rsid w:val="00B35159"/>
    <w:pPr>
      <w:spacing w:before="80"/>
      <w:outlineLvl w:val="4"/>
    </w:pPr>
    <w:rPr>
      <w:color w:val="918585"/>
      <w:sz w:val="20"/>
    </w:rPr>
  </w:style>
  <w:style w:type="paragraph" w:styleId="Heading6">
    <w:name w:val="heading 6"/>
    <w:basedOn w:val="HeadingBase"/>
    <w:next w:val="Normal"/>
    <w:link w:val="Heading6Char"/>
    <w:qFormat/>
    <w:rsid w:val="00B35159"/>
    <w:pPr>
      <w:spacing w:before="60"/>
      <w:outlineLvl w:val="5"/>
    </w:pPr>
    <w:rPr>
      <w:color w:val="918585"/>
      <w:sz w:val="20"/>
    </w:rPr>
  </w:style>
  <w:style w:type="paragraph" w:styleId="Heading7">
    <w:name w:val="heading 7"/>
    <w:basedOn w:val="Normal"/>
    <w:next w:val="Normal"/>
    <w:link w:val="Heading7Char"/>
    <w:qFormat/>
    <w:rsid w:val="00B35159"/>
    <w:pPr>
      <w:ind w:left="720"/>
      <w:outlineLvl w:val="6"/>
    </w:pPr>
    <w:rPr>
      <w:i/>
    </w:rPr>
  </w:style>
  <w:style w:type="paragraph" w:styleId="Heading8">
    <w:name w:val="heading 8"/>
    <w:basedOn w:val="Normal"/>
    <w:next w:val="Normal"/>
    <w:link w:val="Heading8Char"/>
    <w:qFormat/>
    <w:rsid w:val="00B35159"/>
    <w:pPr>
      <w:ind w:left="720"/>
      <w:outlineLvl w:val="7"/>
    </w:pPr>
    <w:rPr>
      <w:i/>
    </w:rPr>
  </w:style>
  <w:style w:type="paragraph" w:styleId="Heading9">
    <w:name w:val="heading 9"/>
    <w:basedOn w:val="Normal"/>
    <w:next w:val="Normal"/>
    <w:link w:val="Heading9Char"/>
    <w:qFormat/>
    <w:rsid w:val="00B35159"/>
    <w:pPr>
      <w:ind w:left="720"/>
      <w:outlineLvl w:val="8"/>
    </w:pPr>
    <w:rPr>
      <w:i/>
    </w:rPr>
  </w:style>
  <w:style w:type="character" w:default="1" w:styleId="DefaultParagraphFont">
    <w:name w:val="Default Paragraph Font"/>
    <w:uiPriority w:val="1"/>
    <w:unhideWhenUsed/>
    <w:rsid w:val="00B351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159"/>
  </w:style>
  <w:style w:type="character" w:customStyle="1" w:styleId="Heading1Char">
    <w:name w:val="Heading 1 Char"/>
    <w:basedOn w:val="DefaultParagraphFont"/>
    <w:link w:val="Heading1"/>
    <w:rsid w:val="00B35159"/>
    <w:rPr>
      <w:rFonts w:ascii="Times New Roman" w:eastAsia="Times New Roman" w:hAnsi="Times New Roman" w:cs="Times New Roman"/>
      <w:b/>
      <w:sz w:val="32"/>
      <w:szCs w:val="20"/>
      <w:lang w:eastAsia="en-US"/>
    </w:rPr>
  </w:style>
  <w:style w:type="paragraph" w:styleId="BodyText">
    <w:name w:val="Body Text"/>
    <w:basedOn w:val="Normal"/>
    <w:link w:val="BodyTextChar"/>
    <w:rsid w:val="00B351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5159"/>
    <w:rPr>
      <w:rFonts w:ascii="Times New Roman" w:eastAsia="Times New Roman" w:hAnsi="Times New Roman" w:cs="Times New Roman"/>
      <w:sz w:val="24"/>
      <w:lang w:eastAsia="en-US"/>
    </w:rPr>
  </w:style>
  <w:style w:type="paragraph" w:styleId="ListBullet">
    <w:name w:val="List Bullet"/>
    <w:basedOn w:val="List"/>
    <w:rsid w:val="00B35159"/>
    <w:pPr>
      <w:numPr>
        <w:numId w:val="12"/>
      </w:numPr>
      <w:tabs>
        <w:tab w:val="clear" w:pos="340"/>
      </w:tabs>
      <w:spacing w:before="40" w:after="40"/>
    </w:pPr>
  </w:style>
  <w:style w:type="character" w:customStyle="1" w:styleId="SpecialBold">
    <w:name w:val="Special Bold"/>
    <w:basedOn w:val="DefaultParagraphFont"/>
    <w:rsid w:val="00B35159"/>
    <w:rPr>
      <w:b/>
      <w:spacing w:val="0"/>
    </w:rPr>
  </w:style>
  <w:style w:type="paragraph" w:customStyle="1" w:styleId="SuperHeading">
    <w:name w:val="SuperHeading"/>
    <w:basedOn w:val="Normal"/>
    <w:rsid w:val="00B35159"/>
    <w:pPr>
      <w:spacing w:before="240" w:after="120"/>
      <w:outlineLvl w:val="0"/>
    </w:pPr>
    <w:rPr>
      <w:rFonts w:ascii="Times New Roman" w:hAnsi="Times New Roman"/>
      <w:b/>
      <w:sz w:val="32"/>
    </w:rPr>
  </w:style>
  <w:style w:type="paragraph" w:customStyle="1" w:styleId="AllowPageBreak">
    <w:name w:val="AllowPageBreak"/>
    <w:rsid w:val="00B351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B35159"/>
    <w:rPr>
      <w:sz w:val="16"/>
      <w:vertAlign w:val="subscript"/>
    </w:rPr>
  </w:style>
  <w:style w:type="character" w:customStyle="1" w:styleId="Symbols">
    <w:name w:val="Symbols"/>
    <w:basedOn w:val="DefaultParagraphFont"/>
    <w:rsid w:val="00B35159"/>
    <w:rPr>
      <w:rFonts w:ascii="Symbol" w:hAnsi="Symbol"/>
    </w:rPr>
  </w:style>
  <w:style w:type="character" w:customStyle="1" w:styleId="Heading2Char">
    <w:name w:val="Heading 2 Char"/>
    <w:basedOn w:val="DefaultParagraphFont"/>
    <w:link w:val="Heading2"/>
    <w:rsid w:val="00B351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1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1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1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1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1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1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159"/>
    <w:rPr>
      <w:rFonts w:ascii="Courier New" w:eastAsia="Times New Roman" w:hAnsi="Courier New" w:cs="Times New Roman"/>
      <w:i/>
      <w:szCs w:val="20"/>
      <w:lang w:eastAsia="en-US"/>
    </w:rPr>
  </w:style>
  <w:style w:type="paragraph" w:customStyle="1" w:styleId="HeadingBase">
    <w:name w:val="Heading Base"/>
    <w:rsid w:val="00B351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159"/>
    <w:pPr>
      <w:tabs>
        <w:tab w:val="right" w:leader="dot" w:pos="9072"/>
      </w:tabs>
      <w:ind w:left="567"/>
    </w:pPr>
    <w:rPr>
      <w:szCs w:val="22"/>
    </w:rPr>
  </w:style>
  <w:style w:type="paragraph" w:customStyle="1" w:styleId="TOCBase">
    <w:name w:val="TOC Base"/>
    <w:rsid w:val="00B351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159"/>
    <w:pPr>
      <w:tabs>
        <w:tab w:val="right" w:leader="dot" w:pos="9072"/>
      </w:tabs>
      <w:spacing w:before="40" w:after="40"/>
      <w:ind w:left="284"/>
    </w:pPr>
    <w:rPr>
      <w:rFonts w:ascii="Times New Roman" w:hAnsi="Times New Roman"/>
    </w:rPr>
  </w:style>
  <w:style w:type="paragraph" w:styleId="TOC1">
    <w:name w:val="toc 1"/>
    <w:basedOn w:val="TOCBase"/>
    <w:next w:val="Normal"/>
    <w:rsid w:val="00B351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51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159"/>
    <w:rPr>
      <w:rFonts w:ascii="Times New Roman" w:eastAsia="Times New Roman" w:hAnsi="Times New Roman" w:cs="Times New Roman"/>
      <w:sz w:val="16"/>
      <w:lang w:eastAsia="en-US"/>
    </w:rPr>
  </w:style>
  <w:style w:type="paragraph" w:styleId="Title">
    <w:name w:val="Title"/>
    <w:basedOn w:val="HeadingBase"/>
    <w:link w:val="TitleChar"/>
    <w:qFormat/>
    <w:rsid w:val="00B35159"/>
    <w:pPr>
      <w:spacing w:before="5040"/>
      <w:jc w:val="center"/>
    </w:pPr>
    <w:rPr>
      <w:sz w:val="48"/>
      <w:szCs w:val="72"/>
      <w:lang w:val="en-US"/>
    </w:rPr>
  </w:style>
  <w:style w:type="character" w:customStyle="1" w:styleId="TitleChar">
    <w:name w:val="Title Char"/>
    <w:basedOn w:val="DefaultParagraphFont"/>
    <w:link w:val="Title"/>
    <w:rsid w:val="00B351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159"/>
    <w:pPr>
      <w:tabs>
        <w:tab w:val="left" w:pos="3600"/>
        <w:tab w:val="left" w:pos="3958"/>
      </w:tabs>
    </w:pPr>
  </w:style>
  <w:style w:type="paragraph" w:styleId="List">
    <w:name w:val="List"/>
    <w:basedOn w:val="BodyText"/>
    <w:next w:val="BodyText"/>
    <w:rsid w:val="00B35159"/>
    <w:pPr>
      <w:tabs>
        <w:tab w:val="left" w:pos="340"/>
      </w:tabs>
      <w:spacing w:before="60" w:after="60"/>
      <w:ind w:left="340" w:hanging="340"/>
    </w:pPr>
  </w:style>
  <w:style w:type="paragraph" w:customStyle="1" w:styleId="Note">
    <w:name w:val="Note"/>
    <w:basedOn w:val="BodyText"/>
    <w:rsid w:val="00B351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159"/>
    <w:pPr>
      <w:framePr w:wrap="auto" w:hAnchor="text" w:y="6049"/>
    </w:pPr>
    <w:rPr>
      <w:color w:val="000000"/>
      <w:sz w:val="40"/>
    </w:rPr>
  </w:style>
  <w:style w:type="paragraph" w:customStyle="1" w:styleId="TOCTitle">
    <w:name w:val="TOCTitle"/>
    <w:basedOn w:val="Heading1"/>
    <w:rsid w:val="00B35159"/>
    <w:pPr>
      <w:spacing w:after="240"/>
      <w:jc w:val="center"/>
      <w:outlineLvl w:val="9"/>
    </w:pPr>
    <w:rPr>
      <w:caps/>
    </w:rPr>
  </w:style>
  <w:style w:type="paragraph" w:customStyle="1" w:styleId="Version">
    <w:name w:val="Version"/>
    <w:rsid w:val="00B351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5159"/>
    <w:pPr>
      <w:numPr>
        <w:numId w:val="13"/>
      </w:numPr>
      <w:tabs>
        <w:tab w:val="clear" w:pos="680"/>
      </w:tabs>
    </w:pPr>
  </w:style>
  <w:style w:type="paragraph" w:styleId="Index1">
    <w:name w:val="index 1"/>
    <w:basedOn w:val="Normal"/>
    <w:next w:val="Normal"/>
    <w:semiHidden/>
    <w:rsid w:val="00B35159"/>
    <w:pPr>
      <w:keepNext w:val="0"/>
      <w:tabs>
        <w:tab w:val="right" w:pos="4176"/>
      </w:tabs>
      <w:ind w:left="198" w:hanging="198"/>
    </w:pPr>
    <w:rPr>
      <w:rFonts w:ascii="Garamond" w:hAnsi="Garamond"/>
    </w:rPr>
  </w:style>
  <w:style w:type="paragraph" w:styleId="IndexHeading">
    <w:name w:val="index heading"/>
    <w:basedOn w:val="Normal"/>
    <w:next w:val="Index1"/>
    <w:semiHidden/>
    <w:rsid w:val="00B35159"/>
    <w:pPr>
      <w:spacing w:before="120" w:after="120"/>
    </w:pPr>
    <w:rPr>
      <w:rFonts w:ascii="Arial" w:hAnsi="Arial"/>
      <w:b/>
      <w:color w:val="918585"/>
      <w:sz w:val="24"/>
    </w:rPr>
  </w:style>
  <w:style w:type="paragraph" w:styleId="Header">
    <w:name w:val="header"/>
    <w:basedOn w:val="Normal"/>
    <w:link w:val="HeaderChar"/>
    <w:rsid w:val="00B351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159"/>
    <w:rPr>
      <w:rFonts w:ascii="Times New Roman" w:eastAsia="Times New Roman" w:hAnsi="Times New Roman" w:cs="Times New Roman"/>
      <w:sz w:val="16"/>
      <w:szCs w:val="20"/>
      <w:lang w:val="en-GB" w:eastAsia="en-US"/>
    </w:rPr>
  </w:style>
  <w:style w:type="paragraph" w:customStyle="1" w:styleId="Chapter">
    <w:name w:val="Chapter"/>
    <w:basedOn w:val="Normal"/>
    <w:rsid w:val="00B35159"/>
    <w:pPr>
      <w:spacing w:before="240"/>
    </w:pPr>
    <w:rPr>
      <w:rFonts w:ascii="Times New Roman" w:hAnsi="Times New Roman"/>
      <w:smallCaps/>
      <w:spacing w:val="80"/>
      <w:sz w:val="28"/>
    </w:rPr>
  </w:style>
  <w:style w:type="paragraph" w:customStyle="1" w:styleId="InChapter">
    <w:name w:val="InChapter"/>
    <w:basedOn w:val="Heading3"/>
    <w:rsid w:val="00B35159"/>
    <w:pPr>
      <w:spacing w:after="240"/>
      <w:outlineLvl w:val="9"/>
    </w:pPr>
    <w:rPr>
      <w:noProof/>
    </w:rPr>
  </w:style>
  <w:style w:type="paragraph" w:styleId="Index2">
    <w:name w:val="index 2"/>
    <w:basedOn w:val="Normal"/>
    <w:next w:val="Normal"/>
    <w:semiHidden/>
    <w:rsid w:val="00B35159"/>
    <w:pPr>
      <w:tabs>
        <w:tab w:val="right" w:pos="4176"/>
      </w:tabs>
      <w:ind w:left="568" w:hanging="284"/>
    </w:pPr>
    <w:rPr>
      <w:rFonts w:ascii="Garamond" w:hAnsi="Garamond"/>
    </w:rPr>
  </w:style>
  <w:style w:type="paragraph" w:customStyle="1" w:styleId="Byline">
    <w:name w:val="Byline"/>
    <w:rsid w:val="00B351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159"/>
    <w:pPr>
      <w:tabs>
        <w:tab w:val="clear" w:pos="3600"/>
        <w:tab w:val="clear" w:pos="3958"/>
      </w:tabs>
      <w:jc w:val="right"/>
    </w:pPr>
  </w:style>
  <w:style w:type="character" w:styleId="Emphasis">
    <w:name w:val="Emphasis"/>
    <w:basedOn w:val="DefaultParagraphFont"/>
    <w:qFormat/>
    <w:rsid w:val="00B35159"/>
    <w:rPr>
      <w:i/>
    </w:rPr>
  </w:style>
  <w:style w:type="paragraph" w:styleId="Caption">
    <w:name w:val="caption"/>
    <w:basedOn w:val="BodyText"/>
    <w:next w:val="Normal"/>
    <w:qFormat/>
    <w:rsid w:val="00B35159"/>
    <w:pPr>
      <w:framePr w:w="2268" w:hSpace="181" w:vSpace="181" w:wrap="around" w:vAnchor="text" w:hAnchor="page" w:x="1135" w:y="285" w:anchorLock="1"/>
    </w:pPr>
    <w:rPr>
      <w:i/>
    </w:rPr>
  </w:style>
  <w:style w:type="paragraph" w:customStyle="1" w:styleId="MiniTOCTitle">
    <w:name w:val="MiniTOCTitle"/>
    <w:basedOn w:val="Heading4"/>
    <w:rsid w:val="00B35159"/>
    <w:pPr>
      <w:spacing w:before="240"/>
      <w:outlineLvl w:val="9"/>
    </w:pPr>
    <w:rPr>
      <w:noProof/>
      <w:sz w:val="24"/>
    </w:rPr>
  </w:style>
  <w:style w:type="paragraph" w:customStyle="1" w:styleId="MiniTOCItem">
    <w:name w:val="MiniTOCItem"/>
    <w:basedOn w:val="ListBullet"/>
    <w:rsid w:val="00B35159"/>
    <w:pPr>
      <w:numPr>
        <w:numId w:val="0"/>
      </w:numPr>
      <w:tabs>
        <w:tab w:val="right" w:leader="dot" w:pos="6521"/>
      </w:tabs>
      <w:spacing w:before="0" w:after="0"/>
    </w:pPr>
  </w:style>
  <w:style w:type="paragraph" w:customStyle="1" w:styleId="TOFTitle">
    <w:name w:val="TOFTitle"/>
    <w:basedOn w:val="TOCTitle"/>
    <w:rsid w:val="00B35159"/>
  </w:style>
  <w:style w:type="paragraph" w:styleId="TableofFigures">
    <w:name w:val="table of figures"/>
    <w:basedOn w:val="Normal"/>
    <w:next w:val="Normal"/>
    <w:semiHidden/>
    <w:rsid w:val="00B35159"/>
    <w:pPr>
      <w:tabs>
        <w:tab w:val="right" w:leader="dot" w:pos="9072"/>
      </w:tabs>
      <w:ind w:left="970" w:hanging="403"/>
    </w:pPr>
    <w:rPr>
      <w:rFonts w:ascii="Times New Roman" w:hAnsi="Times New Roman"/>
      <w:b/>
    </w:rPr>
  </w:style>
  <w:style w:type="paragraph" w:styleId="ListNumber">
    <w:name w:val="List Number"/>
    <w:basedOn w:val="List"/>
    <w:rsid w:val="00B35159"/>
    <w:pPr>
      <w:numPr>
        <w:numId w:val="10"/>
      </w:numPr>
    </w:pPr>
  </w:style>
  <w:style w:type="character" w:customStyle="1" w:styleId="WingdingSymbols">
    <w:name w:val="Wingding Symbols"/>
    <w:rsid w:val="00B35159"/>
    <w:rPr>
      <w:rFonts w:ascii="Wingdings" w:hAnsi="Wingdings"/>
    </w:rPr>
  </w:style>
  <w:style w:type="paragraph" w:customStyle="1" w:styleId="TableHeading">
    <w:name w:val="Table Heading"/>
    <w:basedOn w:val="HeadingBase"/>
    <w:rsid w:val="00B35159"/>
    <w:pPr>
      <w:keepLines/>
      <w:pBdr>
        <w:bottom w:val="single" w:sz="6" w:space="1" w:color="918585"/>
      </w:pBdr>
      <w:spacing w:before="240"/>
    </w:pPr>
  </w:style>
  <w:style w:type="character" w:customStyle="1" w:styleId="HotSpot">
    <w:name w:val="HotSpot"/>
    <w:rsid w:val="00B35159"/>
    <w:rPr>
      <w:color w:val="0033CC"/>
      <w:u w:val="none"/>
    </w:rPr>
  </w:style>
  <w:style w:type="paragraph" w:customStyle="1" w:styleId="BodyTextRight">
    <w:name w:val="Body Text Right"/>
    <w:basedOn w:val="BodyText"/>
    <w:rsid w:val="00B35159"/>
    <w:pPr>
      <w:spacing w:before="0" w:after="0"/>
      <w:jc w:val="right"/>
    </w:pPr>
  </w:style>
  <w:style w:type="paragraph" w:styleId="Index3">
    <w:name w:val="index 3"/>
    <w:basedOn w:val="ListNumber2"/>
    <w:next w:val="Normal"/>
    <w:semiHidden/>
    <w:rsid w:val="00B35159"/>
    <w:pPr>
      <w:numPr>
        <w:numId w:val="0"/>
      </w:numPr>
      <w:tabs>
        <w:tab w:val="right" w:leader="dot" w:pos="4176"/>
      </w:tabs>
    </w:pPr>
  </w:style>
  <w:style w:type="paragraph" w:styleId="ListNumber2">
    <w:name w:val="List Number 2"/>
    <w:basedOn w:val="List2"/>
    <w:rsid w:val="00B35159"/>
    <w:pPr>
      <w:numPr>
        <w:numId w:val="9"/>
      </w:numPr>
      <w:tabs>
        <w:tab w:val="clear" w:pos="1060"/>
      </w:tabs>
    </w:pPr>
  </w:style>
  <w:style w:type="paragraph" w:customStyle="1" w:styleId="MarginNote">
    <w:name w:val="Margin Note"/>
    <w:basedOn w:val="BodyText"/>
    <w:rsid w:val="00B351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1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1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159"/>
    <w:rPr>
      <w:sz w:val="32"/>
    </w:rPr>
  </w:style>
  <w:style w:type="paragraph" w:customStyle="1" w:styleId="HeadingProcedure">
    <w:name w:val="Heading Procedure"/>
    <w:basedOn w:val="HeadingBase"/>
    <w:next w:val="Normal"/>
    <w:rsid w:val="00B35159"/>
    <w:pPr>
      <w:tabs>
        <w:tab w:val="left" w:pos="0"/>
      </w:tabs>
      <w:spacing w:before="120" w:after="60"/>
    </w:pPr>
    <w:rPr>
      <w:i/>
      <w:color w:val="918585"/>
      <w:sz w:val="22"/>
    </w:rPr>
  </w:style>
  <w:style w:type="paragraph" w:customStyle="1" w:styleId="TableBodyText">
    <w:name w:val="Table Body Text"/>
    <w:basedOn w:val="BodyText"/>
    <w:rsid w:val="00B35159"/>
    <w:pPr>
      <w:spacing w:before="60" w:after="60"/>
    </w:pPr>
  </w:style>
  <w:style w:type="paragraph" w:styleId="ListContinue">
    <w:name w:val="List Continue"/>
    <w:basedOn w:val="List"/>
    <w:rsid w:val="00B35159"/>
    <w:pPr>
      <w:ind w:firstLine="0"/>
    </w:pPr>
  </w:style>
  <w:style w:type="paragraph" w:customStyle="1" w:styleId="ListNote">
    <w:name w:val="List Note"/>
    <w:basedOn w:val="List"/>
    <w:rsid w:val="00B35159"/>
    <w:pPr>
      <w:pBdr>
        <w:top w:val="single" w:sz="6" w:space="2" w:color="918585"/>
        <w:bottom w:val="single" w:sz="6" w:space="2" w:color="918585"/>
      </w:pBdr>
      <w:tabs>
        <w:tab w:val="left" w:pos="1021"/>
      </w:tabs>
      <w:ind w:firstLine="0"/>
    </w:pPr>
  </w:style>
  <w:style w:type="paragraph" w:customStyle="1" w:styleId="Warning">
    <w:name w:val="Warning"/>
    <w:basedOn w:val="BodyText"/>
    <w:rsid w:val="00B35159"/>
    <w:pPr>
      <w:shd w:val="clear" w:color="auto" w:fill="D9D9D9"/>
      <w:tabs>
        <w:tab w:val="left" w:pos="992"/>
      </w:tabs>
      <w:ind w:left="119" w:right="119"/>
    </w:pPr>
    <w:rPr>
      <w:sz w:val="20"/>
    </w:rPr>
  </w:style>
  <w:style w:type="paragraph" w:customStyle="1" w:styleId="MarginIcons">
    <w:name w:val="Margin Icons"/>
    <w:basedOn w:val="BodyText"/>
    <w:rsid w:val="00B351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159"/>
    <w:rPr>
      <w:rFonts w:ascii="Courier New" w:hAnsi="Courier New"/>
    </w:rPr>
  </w:style>
  <w:style w:type="paragraph" w:customStyle="1" w:styleId="NoteBullet">
    <w:name w:val="Note Bullet"/>
    <w:basedOn w:val="Note"/>
    <w:rsid w:val="00B35159"/>
    <w:pPr>
      <w:tabs>
        <w:tab w:val="clear" w:pos="680"/>
      </w:tabs>
      <w:spacing w:before="60" w:after="60"/>
    </w:pPr>
  </w:style>
  <w:style w:type="paragraph" w:customStyle="1" w:styleId="SubHeading2">
    <w:name w:val="SubHeading2"/>
    <w:basedOn w:val="HeadingBase"/>
    <w:rsid w:val="00B35159"/>
    <w:pPr>
      <w:spacing w:before="240" w:after="60"/>
    </w:pPr>
    <w:rPr>
      <w:sz w:val="20"/>
    </w:rPr>
  </w:style>
  <w:style w:type="paragraph" w:customStyle="1" w:styleId="SubHeading1">
    <w:name w:val="SubHeading1"/>
    <w:basedOn w:val="HeadingBase"/>
    <w:rsid w:val="00B35159"/>
    <w:pPr>
      <w:spacing w:before="240" w:after="60"/>
    </w:pPr>
    <w:rPr>
      <w:color w:val="918585"/>
      <w:sz w:val="22"/>
    </w:rPr>
  </w:style>
  <w:style w:type="paragraph" w:customStyle="1" w:styleId="SideHeading">
    <w:name w:val="Side Heading"/>
    <w:basedOn w:val="HeadingBase"/>
    <w:rsid w:val="00B351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159"/>
    <w:pPr>
      <w:tabs>
        <w:tab w:val="num" w:pos="360"/>
      </w:tabs>
    </w:pPr>
  </w:style>
  <w:style w:type="paragraph" w:styleId="PlainText">
    <w:name w:val="Plain Text"/>
    <w:basedOn w:val="Normal"/>
    <w:link w:val="PlainTextChar"/>
    <w:rsid w:val="00B35159"/>
    <w:rPr>
      <w:sz w:val="20"/>
    </w:rPr>
  </w:style>
  <w:style w:type="character" w:customStyle="1" w:styleId="PlainTextChar">
    <w:name w:val="Plain Text Char"/>
    <w:basedOn w:val="DefaultParagraphFont"/>
    <w:link w:val="PlainText"/>
    <w:rsid w:val="00B35159"/>
    <w:rPr>
      <w:rFonts w:ascii="Courier New" w:eastAsia="Times New Roman" w:hAnsi="Courier New" w:cs="Times New Roman"/>
      <w:sz w:val="20"/>
      <w:szCs w:val="20"/>
      <w:lang w:eastAsia="en-US"/>
    </w:rPr>
  </w:style>
  <w:style w:type="character" w:customStyle="1" w:styleId="MenuOption">
    <w:name w:val="Menu Option"/>
    <w:basedOn w:val="DefaultParagraphFont"/>
    <w:rsid w:val="00B35159"/>
    <w:rPr>
      <w:b/>
      <w:smallCaps/>
    </w:rPr>
  </w:style>
  <w:style w:type="paragraph" w:customStyle="1" w:styleId="TableListNumber">
    <w:name w:val="Table List Number"/>
    <w:basedOn w:val="ListNumber"/>
    <w:rsid w:val="00B35159"/>
    <w:pPr>
      <w:numPr>
        <w:numId w:val="0"/>
      </w:numPr>
    </w:pPr>
  </w:style>
  <w:style w:type="paragraph" w:styleId="TOC4">
    <w:name w:val="toc 4"/>
    <w:basedOn w:val="TOCBase"/>
    <w:next w:val="Normal"/>
    <w:semiHidden/>
    <w:rsid w:val="00B35159"/>
    <w:pPr>
      <w:tabs>
        <w:tab w:val="right" w:leader="dot" w:pos="9071"/>
      </w:tabs>
      <w:ind w:left="1701"/>
    </w:pPr>
  </w:style>
  <w:style w:type="paragraph" w:customStyle="1" w:styleId="ListAlpha">
    <w:name w:val="List Alpha"/>
    <w:basedOn w:val="List"/>
    <w:rsid w:val="00B35159"/>
    <w:pPr>
      <w:numPr>
        <w:numId w:val="8"/>
      </w:numPr>
    </w:pPr>
  </w:style>
  <w:style w:type="paragraph" w:customStyle="1" w:styleId="ListAlpha2">
    <w:name w:val="List Alpha 2"/>
    <w:basedOn w:val="List2"/>
    <w:rsid w:val="00B35159"/>
    <w:pPr>
      <w:numPr>
        <w:numId w:val="7"/>
      </w:numPr>
    </w:pPr>
  </w:style>
  <w:style w:type="paragraph" w:styleId="List2">
    <w:name w:val="List 2"/>
    <w:basedOn w:val="BodyText"/>
    <w:rsid w:val="00B35159"/>
    <w:pPr>
      <w:tabs>
        <w:tab w:val="left" w:pos="680"/>
      </w:tabs>
      <w:spacing w:before="60" w:after="60"/>
      <w:ind w:left="680" w:hanging="340"/>
    </w:pPr>
  </w:style>
  <w:style w:type="paragraph" w:styleId="List3">
    <w:name w:val="List 3"/>
    <w:basedOn w:val="BodyText"/>
    <w:rsid w:val="00B35159"/>
    <w:pPr>
      <w:tabs>
        <w:tab w:val="left" w:pos="1021"/>
      </w:tabs>
      <w:spacing w:before="60" w:after="60"/>
      <w:ind w:left="1020" w:hanging="340"/>
    </w:pPr>
  </w:style>
  <w:style w:type="paragraph" w:styleId="List4">
    <w:name w:val="List 4"/>
    <w:basedOn w:val="BodyText"/>
    <w:rsid w:val="00B35159"/>
    <w:pPr>
      <w:tabs>
        <w:tab w:val="left" w:pos="1361"/>
      </w:tabs>
      <w:spacing w:before="60" w:after="60"/>
      <w:ind w:left="1361" w:hanging="340"/>
    </w:pPr>
  </w:style>
  <w:style w:type="paragraph" w:styleId="List5">
    <w:name w:val="List 5"/>
    <w:basedOn w:val="BodyText"/>
    <w:rsid w:val="00B35159"/>
    <w:pPr>
      <w:tabs>
        <w:tab w:val="left" w:pos="1701"/>
      </w:tabs>
      <w:spacing w:before="60" w:after="60"/>
      <w:ind w:left="1701" w:hanging="340"/>
    </w:pPr>
  </w:style>
  <w:style w:type="paragraph" w:styleId="ListBullet3">
    <w:name w:val="List Bullet 3"/>
    <w:basedOn w:val="List3"/>
    <w:rsid w:val="00B35159"/>
    <w:pPr>
      <w:numPr>
        <w:numId w:val="14"/>
      </w:numPr>
      <w:tabs>
        <w:tab w:val="clear" w:pos="1021"/>
      </w:tabs>
      <w:ind w:left="1037" w:hanging="357"/>
    </w:pPr>
  </w:style>
  <w:style w:type="paragraph" w:styleId="ListBullet4">
    <w:name w:val="List Bullet 4"/>
    <w:basedOn w:val="List4"/>
    <w:rsid w:val="00B35159"/>
    <w:pPr>
      <w:numPr>
        <w:numId w:val="2"/>
      </w:numPr>
      <w:tabs>
        <w:tab w:val="clear" w:pos="1361"/>
      </w:tabs>
    </w:pPr>
  </w:style>
  <w:style w:type="paragraph" w:styleId="ListBullet5">
    <w:name w:val="List Bullet 5"/>
    <w:basedOn w:val="List5"/>
    <w:rsid w:val="00B35159"/>
    <w:pPr>
      <w:numPr>
        <w:numId w:val="3"/>
      </w:numPr>
    </w:pPr>
  </w:style>
  <w:style w:type="paragraph" w:styleId="ListContinue2">
    <w:name w:val="List Continue 2"/>
    <w:basedOn w:val="List2"/>
    <w:rsid w:val="00B35159"/>
    <w:pPr>
      <w:ind w:firstLine="0"/>
    </w:pPr>
  </w:style>
  <w:style w:type="paragraph" w:styleId="ListContinue3">
    <w:name w:val="List Continue 3"/>
    <w:basedOn w:val="List3"/>
    <w:rsid w:val="00B35159"/>
    <w:pPr>
      <w:ind w:left="1021" w:firstLine="0"/>
    </w:pPr>
  </w:style>
  <w:style w:type="paragraph" w:styleId="ListContinue4">
    <w:name w:val="List Continue 4"/>
    <w:basedOn w:val="List4"/>
    <w:rsid w:val="00B35159"/>
    <w:pPr>
      <w:ind w:firstLine="0"/>
    </w:pPr>
  </w:style>
  <w:style w:type="paragraph" w:styleId="ListContinue5">
    <w:name w:val="List Continue 5"/>
    <w:basedOn w:val="List5"/>
    <w:rsid w:val="00B35159"/>
    <w:pPr>
      <w:ind w:firstLine="0"/>
    </w:pPr>
  </w:style>
  <w:style w:type="paragraph" w:styleId="ListNumber3">
    <w:name w:val="List Number 3"/>
    <w:basedOn w:val="List3"/>
    <w:rsid w:val="00B35159"/>
    <w:pPr>
      <w:numPr>
        <w:numId w:val="4"/>
      </w:numPr>
    </w:pPr>
  </w:style>
  <w:style w:type="paragraph" w:styleId="ListNumber4">
    <w:name w:val="List Number 4"/>
    <w:basedOn w:val="List4"/>
    <w:rsid w:val="00B35159"/>
    <w:pPr>
      <w:numPr>
        <w:numId w:val="5"/>
      </w:numPr>
    </w:pPr>
  </w:style>
  <w:style w:type="paragraph" w:styleId="ListNumber5">
    <w:name w:val="List Number 5"/>
    <w:basedOn w:val="List5"/>
    <w:rsid w:val="00B35159"/>
    <w:pPr>
      <w:numPr>
        <w:numId w:val="6"/>
      </w:numPr>
    </w:pPr>
  </w:style>
  <w:style w:type="paragraph" w:styleId="BlockText">
    <w:name w:val="Block Text"/>
    <w:basedOn w:val="Normal"/>
    <w:rsid w:val="00B35159"/>
    <w:pPr>
      <w:spacing w:after="120"/>
      <w:ind w:left="1440" w:right="1440"/>
    </w:pPr>
  </w:style>
  <w:style w:type="character" w:customStyle="1" w:styleId="Superscript">
    <w:name w:val="Superscript"/>
    <w:basedOn w:val="DefaultParagraphFont"/>
    <w:rsid w:val="00B35159"/>
    <w:rPr>
      <w:sz w:val="16"/>
      <w:vertAlign w:val="superscript"/>
    </w:rPr>
  </w:style>
  <w:style w:type="character" w:customStyle="1" w:styleId="MenuOptions">
    <w:name w:val="Menu Options"/>
    <w:basedOn w:val="DefaultParagraphFont"/>
    <w:rsid w:val="00B35159"/>
    <w:rPr>
      <w:rFonts w:ascii="Arial Narrow" w:hAnsi="Arial Narrow"/>
      <w:smallCaps/>
    </w:rPr>
  </w:style>
  <w:style w:type="character" w:customStyle="1" w:styleId="Buttons">
    <w:name w:val="Buttons"/>
    <w:basedOn w:val="DefaultParagraphFont"/>
    <w:rsid w:val="00B35159"/>
    <w:rPr>
      <w:b/>
    </w:rPr>
  </w:style>
  <w:style w:type="character" w:customStyle="1" w:styleId="Underlined">
    <w:name w:val="Underlined"/>
    <w:basedOn w:val="DefaultParagraphFont"/>
    <w:rsid w:val="00B35159"/>
    <w:rPr>
      <w:u w:val="single"/>
    </w:rPr>
  </w:style>
  <w:style w:type="paragraph" w:customStyle="1" w:styleId="TableBodyTextRight">
    <w:name w:val="Table Body Text Right"/>
    <w:basedOn w:val="TableBodyText"/>
    <w:rsid w:val="00B35159"/>
    <w:pPr>
      <w:widowControl w:val="0"/>
      <w:autoSpaceDE w:val="0"/>
      <w:autoSpaceDN w:val="0"/>
      <w:adjustRightInd w:val="0"/>
      <w:jc w:val="right"/>
    </w:pPr>
    <w:rPr>
      <w:rFonts w:cs="Arial"/>
      <w:szCs w:val="18"/>
    </w:rPr>
  </w:style>
  <w:style w:type="paragraph" w:customStyle="1" w:styleId="CopyrightText">
    <w:name w:val="Copyright Text"/>
    <w:basedOn w:val="BodyText"/>
    <w:rsid w:val="00B35159"/>
    <w:rPr>
      <w:sz w:val="18"/>
    </w:rPr>
  </w:style>
  <w:style w:type="paragraph" w:customStyle="1" w:styleId="BodySmallRight">
    <w:name w:val="Body Small Right"/>
    <w:basedOn w:val="BodyTextRight"/>
    <w:rsid w:val="00B35159"/>
    <w:rPr>
      <w:sz w:val="18"/>
      <w:szCs w:val="18"/>
    </w:rPr>
  </w:style>
  <w:style w:type="paragraph" w:customStyle="1" w:styleId="MarginEdition">
    <w:name w:val="Margin Edition"/>
    <w:basedOn w:val="MarginNote"/>
    <w:rsid w:val="00B35159"/>
    <w:pPr>
      <w:spacing w:before="0" w:after="0"/>
    </w:pPr>
    <w:rPr>
      <w:rFonts w:ascii="Times New Roman" w:hAnsi="Times New Roman"/>
      <w:color w:val="999999"/>
    </w:rPr>
  </w:style>
  <w:style w:type="paragraph" w:customStyle="1" w:styleId="Spacer">
    <w:name w:val="Spacer"/>
    <w:basedOn w:val="Normal"/>
    <w:rsid w:val="00B35159"/>
    <w:rPr>
      <w:sz w:val="2"/>
      <w:szCs w:val="2"/>
    </w:rPr>
  </w:style>
  <w:style w:type="character" w:customStyle="1" w:styleId="Small">
    <w:name w:val="Small"/>
    <w:basedOn w:val="DefaultParagraphFont"/>
    <w:rsid w:val="00B35159"/>
    <w:rPr>
      <w:sz w:val="16"/>
    </w:rPr>
  </w:style>
  <w:style w:type="paragraph" w:customStyle="1" w:styleId="WideTable">
    <w:name w:val="Wide Table"/>
    <w:basedOn w:val="Normal"/>
    <w:rsid w:val="00B35159"/>
    <w:pPr>
      <w:ind w:left="-1418"/>
    </w:pPr>
    <w:rPr>
      <w:sz w:val="2"/>
      <w:szCs w:val="2"/>
    </w:rPr>
  </w:style>
  <w:style w:type="character" w:styleId="PageNumber">
    <w:name w:val="page number"/>
    <w:basedOn w:val="DefaultParagraphFont"/>
    <w:rsid w:val="00B35159"/>
  </w:style>
  <w:style w:type="paragraph" w:styleId="Quote">
    <w:name w:val="Quote"/>
    <w:basedOn w:val="Heading1"/>
    <w:link w:val="QuoteChar"/>
    <w:qFormat/>
    <w:rsid w:val="00B35159"/>
    <w:rPr>
      <w:b w:val="0"/>
      <w:sz w:val="72"/>
      <w:szCs w:val="72"/>
      <w:lang w:val="en-NZ"/>
    </w:rPr>
  </w:style>
  <w:style w:type="character" w:customStyle="1" w:styleId="QuoteChar">
    <w:name w:val="Quote Char"/>
    <w:basedOn w:val="DefaultParagraphFont"/>
    <w:link w:val="Quote"/>
    <w:rsid w:val="00B351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159"/>
    <w:pPr>
      <w:pageBreakBefore/>
    </w:pPr>
  </w:style>
  <w:style w:type="paragraph" w:customStyle="1" w:styleId="Border">
    <w:name w:val="Border"/>
    <w:basedOn w:val="Normal"/>
    <w:qFormat/>
    <w:rsid w:val="00B351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159"/>
    <w:rPr>
      <w:b/>
      <w:bCs/>
      <w:i/>
      <w:iCs/>
      <w:color w:val="auto"/>
    </w:rPr>
  </w:style>
  <w:style w:type="paragraph" w:styleId="IntenseQuote">
    <w:name w:val="Intense Quote"/>
    <w:basedOn w:val="Normal"/>
    <w:next w:val="Normal"/>
    <w:link w:val="IntenseQuoteChar"/>
    <w:uiPriority w:val="30"/>
    <w:qFormat/>
    <w:rsid w:val="00B351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1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159"/>
    <w:rPr>
      <w:smallCaps/>
      <w:color w:val="auto"/>
      <w:u w:val="single"/>
    </w:rPr>
  </w:style>
  <w:style w:type="character" w:styleId="IntenseReference">
    <w:name w:val="Intense Reference"/>
    <w:basedOn w:val="DefaultParagraphFont"/>
    <w:uiPriority w:val="32"/>
    <w:qFormat/>
    <w:rsid w:val="00B35159"/>
    <w:rPr>
      <w:b/>
      <w:bCs/>
      <w:smallCaps/>
      <w:color w:val="auto"/>
      <w:spacing w:val="5"/>
      <w:u w:val="single"/>
    </w:rPr>
  </w:style>
  <w:style w:type="paragraph" w:customStyle="1" w:styleId="2ColumnHeading">
    <w:name w:val="2Column Heading"/>
    <w:basedOn w:val="BodyText"/>
    <w:qFormat/>
    <w:rsid w:val="00B35159"/>
    <w:pPr>
      <w:spacing w:after="60"/>
      <w:ind w:left="-2268"/>
    </w:pPr>
    <w:rPr>
      <w:b/>
    </w:rPr>
  </w:style>
  <w:style w:type="paragraph" w:customStyle="1" w:styleId="Heading1TOC">
    <w:name w:val="Heading1 TOC"/>
    <w:basedOn w:val="Normal"/>
    <w:qFormat/>
    <w:rsid w:val="00B35159"/>
    <w:pPr>
      <w:spacing w:before="240" w:after="120"/>
    </w:pPr>
    <w:rPr>
      <w:rFonts w:ascii="Times New Roman" w:hAnsi="Times New Roman"/>
      <w:b/>
      <w:sz w:val="32"/>
    </w:rPr>
  </w:style>
  <w:style w:type="paragraph" w:customStyle="1" w:styleId="Heading2TOC">
    <w:name w:val="Heading2 TOC"/>
    <w:basedOn w:val="Normal"/>
    <w:qFormat/>
    <w:rsid w:val="00B35159"/>
    <w:pPr>
      <w:spacing w:before="240" w:after="60"/>
    </w:pPr>
    <w:rPr>
      <w:rFonts w:ascii="Times New Roman" w:hAnsi="Times New Roman"/>
      <w:b/>
      <w:sz w:val="28"/>
    </w:rPr>
  </w:style>
  <w:style w:type="character" w:customStyle="1" w:styleId="Underline">
    <w:name w:val="Underline"/>
    <w:basedOn w:val="DefaultParagraphFont"/>
    <w:qFormat/>
    <w:rsid w:val="00B35159"/>
    <w:rPr>
      <w:u w:val="single"/>
    </w:rPr>
  </w:style>
  <w:style w:type="character" w:customStyle="1" w:styleId="BoldandItalics">
    <w:name w:val="Bold and Italics"/>
    <w:qFormat/>
    <w:rsid w:val="00B35159"/>
    <w:rPr>
      <w:b/>
      <w:i/>
      <w:u w:val="none"/>
    </w:rPr>
  </w:style>
  <w:style w:type="paragraph" w:styleId="BalloonText">
    <w:name w:val="Balloon Text"/>
    <w:basedOn w:val="Normal"/>
    <w:link w:val="BalloonTextChar"/>
    <w:rsid w:val="00B35159"/>
    <w:rPr>
      <w:rFonts w:ascii="Tahoma" w:hAnsi="Tahoma" w:cs="Tahoma"/>
      <w:sz w:val="16"/>
      <w:szCs w:val="16"/>
    </w:rPr>
  </w:style>
  <w:style w:type="character" w:customStyle="1" w:styleId="BalloonTextChar">
    <w:name w:val="Balloon Text Char"/>
    <w:basedOn w:val="DefaultParagraphFont"/>
    <w:link w:val="BalloonText"/>
    <w:rsid w:val="00B351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1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51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159"/>
    <w:rPr>
      <w:b/>
      <w:color w:val="660033"/>
      <w:spacing w:val="0"/>
    </w:rPr>
  </w:style>
  <w:style w:type="paragraph" w:customStyle="1" w:styleId="Nameditemlist">
    <w:name w:val="Named item list"/>
    <w:basedOn w:val="BodyText"/>
    <w:qFormat/>
    <w:rsid w:val="00B351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1263</Words>
  <Characters>7837</Characters>
  <Application>Microsoft Office Word</Application>
  <DocSecurity>0</DocSecurity>
  <Lines>327</Lines>
  <Paragraphs>148</Paragraphs>
  <ScaleCrop>false</ScaleCrop>
  <Company>Author-it Software Corporation Ltd.</Company>
  <LinksUpToDate>false</LinksUpToDate>
  <CharactersWithSpaces>8988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MSL973011 Perform fire pouring techniques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2016-03-01T06:30:00Z</dcterms:created>
  <dcterms:modified xsi:type="dcterms:W3CDTF">2016-03-01T06:30:00Z</dcterms:modified>
</cp:coreProperties>
</file>