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265" w:rsidP="002D7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MSL973011 Perform fire pouring techniques</w:t>
      </w:r>
      <w:r>
        <w:fldChar w:fldCharType="end"/>
      </w:r>
    </w:p>
    <w:p w:rsidR="002D7265" w:rsidP="002D7265">
      <w:pPr>
        <w:pStyle w:val="Version"/>
        <w:sectPr w:rsidSect="00DC65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6572" w:rsidP="00DC6572">
      <w:pPr>
        <w:pStyle w:val="SuperHeading"/>
      </w:pPr>
      <w:r w:rsidRPr="00DC6572">
        <w:t>Assessment Requirements for MSL973011 Perform fire pouring techniques</w:t>
      </w:r>
    </w:p>
    <w:p w:rsidR="00000000" w:rsidRPr="00DC6572" w:rsidP="00DC6572">
      <w:pPr>
        <w:pStyle w:val="Heading1"/>
      </w:pPr>
      <w:bookmarkStart w:id="1" w:name="O_899351"/>
      <w:bookmarkEnd w:id="1"/>
      <w:r w:rsidRPr="00DC6572">
        <w:t>Modification History</w:t>
      </w:r>
    </w:p>
    <w:p w:rsidR="00000000" w:rsidRPr="00DC6572" w:rsidP="00DC6572">
      <w:pPr>
        <w:pStyle w:val="BodyText"/>
      </w:pPr>
      <w:r w:rsidRPr="00DC6572">
        <w:t>Release 1. Supersedes and is equivalent to MSL973011A Perform fire pouring techniques</w:t>
      </w:r>
    </w:p>
    <w:p w:rsidR="00000000" w:rsidRPr="00DC6572" w:rsidP="00DC6572">
      <w:pPr>
        <w:pStyle w:val="AllowPageBreak"/>
      </w:pPr>
    </w:p>
    <w:p w:rsidR="00000000" w:rsidRPr="00DC6572" w:rsidP="00DC6572">
      <w:pPr>
        <w:pStyle w:val="Heading1"/>
      </w:pPr>
      <w:bookmarkStart w:id="2" w:name="O_899354"/>
      <w:bookmarkEnd w:id="2"/>
      <w:r w:rsidRPr="00DC6572">
        <w:t>Performance Evidence</w:t>
      </w:r>
    </w:p>
    <w:p w:rsidR="00000000" w:rsidRPr="00DC6572" w:rsidP="00DC6572">
      <w:pPr>
        <w:pStyle w:val="BodyText"/>
      </w:pPr>
      <w:r w:rsidRPr="00DC6572">
        <w:t>Evidence of competence in this unit must satisfy all of the requirements of the elements and performance criteria, and include demonstration of:</w:t>
      </w:r>
    </w:p>
    <w:p w:rsidR="00000000" w:rsidRPr="00DC6572" w:rsidP="00DC6572">
      <w:pPr>
        <w:pStyle w:val="ListBullet"/>
      </w:pPr>
      <w:r w:rsidRPr="00DC6572">
        <w:t>safely extracting precious metals from their host matrices in readiness for analysis on at least three (3) occ</w:t>
      </w:r>
      <w:r w:rsidRPr="00DC6572">
        <w:t>asions</w:t>
      </w:r>
    </w:p>
    <w:p w:rsidR="00000000" w:rsidRPr="00DC6572" w:rsidP="00DC6572">
      <w:pPr>
        <w:pStyle w:val="ListBullet"/>
      </w:pPr>
      <w:r w:rsidRPr="00DC6572">
        <w:t>interpreting and following standard recovery methods</w:t>
      </w:r>
    </w:p>
    <w:p w:rsidR="00000000" w:rsidRPr="00DC6572" w:rsidP="00DC6572">
      <w:pPr>
        <w:pStyle w:val="ListBullet"/>
      </w:pPr>
      <w:r w:rsidRPr="00DC6572">
        <w:t>maintaining close attention to technical and safety requirements in a physically demanding, hazardous environment</w:t>
      </w:r>
    </w:p>
    <w:p w:rsidR="00000000" w:rsidRPr="00DC6572" w:rsidP="00DC6572">
      <w:pPr>
        <w:pStyle w:val="ListBullet"/>
      </w:pPr>
      <w:r w:rsidRPr="00DC6572">
        <w:t>recognising common sample preparation and cupellation problems and making standard</w:t>
      </w:r>
      <w:r w:rsidRPr="00DC6572">
        <w:t xml:space="preserve"> adjustments to fluxes and firings</w:t>
      </w:r>
    </w:p>
    <w:p w:rsidR="00000000" w:rsidRPr="00DC6572" w:rsidP="00DC6572">
      <w:pPr>
        <w:pStyle w:val="ListBullet"/>
      </w:pPr>
      <w:r w:rsidRPr="00DC6572">
        <w:t>recognising non-acceptable characteristics of received and fused samples, buttons and prills</w:t>
      </w:r>
    </w:p>
    <w:p w:rsidR="00000000" w:rsidRPr="00DC6572" w:rsidP="00DC6572">
      <w:pPr>
        <w:pStyle w:val="ListBullet"/>
      </w:pPr>
      <w:r w:rsidRPr="00DC6572">
        <w:t>recognising indicators of poor recovery and applying established corrective actions</w:t>
      </w:r>
    </w:p>
    <w:p w:rsidR="00000000" w:rsidRPr="00DC6572" w:rsidP="00DC6572">
      <w:pPr>
        <w:pStyle w:val="ListBullet"/>
      </w:pPr>
      <w:r w:rsidRPr="00DC6572">
        <w:t xml:space="preserve">recognising the presence of highly oxidised </w:t>
      </w:r>
      <w:r w:rsidRPr="00DC6572">
        <w:t>ores, such as haematite or magnetite, and adjusting the charge weight and flux components to suit</w:t>
      </w:r>
    </w:p>
    <w:p w:rsidR="00000000" w:rsidRPr="00DC6572" w:rsidP="00DC6572">
      <w:pPr>
        <w:pStyle w:val="ListBullet"/>
      </w:pPr>
      <w:r w:rsidRPr="00DC6572">
        <w:t>accurately weighing samples and flux components</w:t>
      </w:r>
    </w:p>
    <w:p w:rsidR="00000000" w:rsidRPr="00DC6572" w:rsidP="00DC6572">
      <w:pPr>
        <w:pStyle w:val="ListBullet"/>
      </w:pPr>
      <w:r w:rsidRPr="00DC6572">
        <w:t>manually handling heavy and hot items of equipment safely</w:t>
      </w:r>
    </w:p>
    <w:p w:rsidR="00000000" w:rsidRPr="00DC6572" w:rsidP="00DC6572">
      <w:pPr>
        <w:pStyle w:val="ListBullet"/>
      </w:pPr>
      <w:r w:rsidRPr="00DC6572">
        <w:t>maintaining sequential control of samples through al</w:t>
      </w:r>
      <w:r w:rsidRPr="00DC6572">
        <w:t>l recovery stages</w:t>
      </w:r>
    </w:p>
    <w:p w:rsidR="00000000" w:rsidRPr="00DC6572" w:rsidP="00DC6572">
      <w:pPr>
        <w:pStyle w:val="ListBullet"/>
      </w:pPr>
      <w:r w:rsidRPr="00DC6572">
        <w:t>keeping accurate and complete records, including:</w:t>
      </w:r>
    </w:p>
    <w:p w:rsidR="00000000" w:rsidRPr="00DC6572" w:rsidP="00DC6572">
      <w:pPr>
        <w:pStyle w:val="ListBullet2"/>
      </w:pPr>
      <w:r w:rsidRPr="00DC6572">
        <w:t>pour sheets (date, time, client, pour number and preparation method)</w:t>
      </w:r>
    </w:p>
    <w:p w:rsidR="00000000" w:rsidRPr="00DC6572" w:rsidP="00DC6572">
      <w:pPr>
        <w:pStyle w:val="ListBullet2"/>
      </w:pPr>
      <w:r w:rsidRPr="00DC6572">
        <w:t>number of pots, positions of sample, blank and check in rack</w:t>
      </w:r>
    </w:p>
    <w:p w:rsidR="00000000" w:rsidRPr="00DC6572" w:rsidP="00DC6572">
      <w:pPr>
        <w:pStyle w:val="ListBullet2"/>
      </w:pPr>
      <w:r w:rsidRPr="00DC6572">
        <w:t>visual appearance of samples, buttons and prills</w:t>
      </w:r>
    </w:p>
    <w:p w:rsidR="00000000" w:rsidRPr="00DC6572" w:rsidP="00DC6572">
      <w:pPr>
        <w:pStyle w:val="ListBullet2"/>
      </w:pPr>
      <w:r w:rsidRPr="00DC6572">
        <w:t>corrective actions for specific samples</w:t>
      </w:r>
    </w:p>
    <w:p w:rsidR="00000000" w:rsidRPr="00DC6572" w:rsidP="00DC6572">
      <w:pPr>
        <w:pStyle w:val="ListBullet"/>
      </w:pPr>
      <w:r w:rsidRPr="00DC6572">
        <w:t>planning work flow to ensure efficient sample throughput</w:t>
      </w:r>
    </w:p>
    <w:p w:rsidR="00000000" w:rsidRPr="00DC6572" w:rsidP="00DC6572">
      <w:pPr>
        <w:pStyle w:val="ListBullet"/>
      </w:pPr>
      <w:r w:rsidRPr="00DC6572">
        <w:t>minimising re-work, waste and environmental impacts and disposing of all waste responsibly</w:t>
      </w:r>
    </w:p>
    <w:p w:rsidR="00000000" w:rsidRPr="00DC6572" w:rsidP="00DC6572">
      <w:pPr>
        <w:pStyle w:val="ListBullet"/>
      </w:pPr>
      <w:r w:rsidRPr="00DC6572">
        <w:t>recognising hazards and using workplace safety procedures and safet</w:t>
      </w:r>
      <w:r w:rsidRPr="00DC6572">
        <w:t>y equipment to work safely at all times.</w:t>
      </w:r>
    </w:p>
    <w:p w:rsidR="00000000" w:rsidRPr="00DC6572" w:rsidP="00DC6572">
      <w:pPr>
        <w:pStyle w:val="AllowPageBreak"/>
      </w:pPr>
    </w:p>
    <w:p w:rsidR="00000000" w:rsidRPr="00DC6572" w:rsidP="00DC6572">
      <w:pPr>
        <w:pStyle w:val="Heading1"/>
      </w:pPr>
      <w:bookmarkStart w:id="3" w:name="O_899353"/>
      <w:bookmarkEnd w:id="3"/>
      <w:r w:rsidRPr="00DC6572">
        <w:t>Knowledge Evidence</w:t>
      </w:r>
    </w:p>
    <w:p w:rsidR="00000000" w:rsidRPr="00DC6572" w:rsidP="00DC6572">
      <w:pPr>
        <w:pStyle w:val="BodyText"/>
      </w:pPr>
      <w:r w:rsidRPr="00DC6572">
        <w:t>Must provide evidence that demonstrates knowledge of:</w:t>
      </w:r>
    </w:p>
    <w:p w:rsidR="00000000" w:rsidRPr="00DC6572" w:rsidP="00DC6572">
      <w:pPr>
        <w:pStyle w:val="ListBullet"/>
      </w:pPr>
      <w:r w:rsidRPr="00DC6572">
        <w:t>procedures and/or standard methods for:</w:t>
      </w:r>
    </w:p>
    <w:p w:rsidR="00000000" w:rsidRPr="00DC6572" w:rsidP="00DC6572">
      <w:pPr>
        <w:pStyle w:val="ListBullet2"/>
      </w:pPr>
      <w:r w:rsidRPr="00DC6572">
        <w:t>fusion of common mineral ore samples</w:t>
      </w:r>
    </w:p>
    <w:p w:rsidR="00000000" w:rsidRPr="00DC6572" w:rsidP="00DC6572">
      <w:pPr>
        <w:pStyle w:val="ListBullet2"/>
      </w:pPr>
      <w:r w:rsidRPr="00DC6572">
        <w:t>cupellation of buttons</w:t>
      </w:r>
    </w:p>
    <w:p w:rsidR="00000000" w:rsidRPr="00DC6572" w:rsidP="00DC6572">
      <w:pPr>
        <w:pStyle w:val="ListBullet2"/>
      </w:pPr>
      <w:r w:rsidRPr="00DC6572">
        <w:t>digestion/parting of pr</w:t>
      </w:r>
      <w:r w:rsidRPr="00DC6572">
        <w:t>ills</w:t>
      </w:r>
    </w:p>
    <w:p w:rsidR="00000000" w:rsidRPr="00DC6572" w:rsidP="00DC6572">
      <w:pPr>
        <w:pStyle w:val="ListBullet"/>
      </w:pPr>
      <w:r w:rsidRPr="00DC6572">
        <w:t>function, operation and maintenance of assay equipment used in job role</w:t>
      </w:r>
    </w:p>
    <w:p w:rsidR="00000000" w:rsidRPr="00DC6572" w:rsidP="00DC6572">
      <w:pPr>
        <w:pStyle w:val="ListBullet"/>
      </w:pPr>
      <w:r w:rsidRPr="00DC6572">
        <w:t>criteria for an 'acceptable' button, including:</w:t>
      </w:r>
    </w:p>
    <w:p w:rsidR="00000000" w:rsidRPr="00DC6572" w:rsidP="00DC6572">
      <w:pPr>
        <w:pStyle w:val="ListBullet2"/>
      </w:pPr>
      <w:r w:rsidRPr="00DC6572">
        <w:t>one piece, mass &gt;20 g and &lt;50 g</w:t>
      </w:r>
    </w:p>
    <w:p w:rsidR="00000000" w:rsidRPr="00DC6572" w:rsidP="00DC6572">
      <w:pPr>
        <w:pStyle w:val="ListBullet2"/>
      </w:pPr>
      <w:r w:rsidRPr="00DC6572">
        <w:t>malleable</w:t>
      </w:r>
    </w:p>
    <w:p w:rsidR="00000000" w:rsidRPr="00DC6572" w:rsidP="00DC6572">
      <w:pPr>
        <w:pStyle w:val="ListBullet2"/>
      </w:pPr>
      <w:r w:rsidRPr="00DC6572">
        <w:t>separates cleanly from slag</w:t>
      </w:r>
    </w:p>
    <w:p w:rsidR="00000000" w:rsidRPr="00DC6572" w:rsidP="00DC6572">
      <w:pPr>
        <w:pStyle w:val="ListBullet2"/>
      </w:pPr>
      <w:r w:rsidRPr="00DC6572">
        <w:t>free of undecomposed ore, matte and speiss</w:t>
      </w:r>
    </w:p>
    <w:p w:rsidR="00000000" w:rsidRPr="00DC6572" w:rsidP="00DC6572">
      <w:pPr>
        <w:pStyle w:val="ListBullet"/>
      </w:pPr>
      <w:r w:rsidRPr="00DC6572">
        <w:t>causes of contamination and losses, including:</w:t>
      </w:r>
    </w:p>
    <w:p w:rsidR="00000000" w:rsidRPr="00DC6572" w:rsidP="00DC6572">
      <w:pPr>
        <w:pStyle w:val="ListBullet2"/>
      </w:pPr>
      <w:r w:rsidRPr="00DC6572">
        <w:t>poorly made cupels</w:t>
      </w:r>
    </w:p>
    <w:p w:rsidR="00000000" w:rsidRPr="00DC6572" w:rsidP="00DC6572">
      <w:pPr>
        <w:pStyle w:val="ListBullet2"/>
      </w:pPr>
      <w:r w:rsidRPr="00DC6572">
        <w:t>base metals - copper (Cu), nickel (Ni), zinc (Zn) and bismuth (Bi)</w:t>
      </w:r>
    </w:p>
    <w:p w:rsidR="00000000" w:rsidRPr="00DC6572" w:rsidP="00DC6572">
      <w:pPr>
        <w:pStyle w:val="ListBullet2"/>
      </w:pPr>
      <w:r w:rsidRPr="00DC6572">
        <w:t>arsenic (As), sulphur (S), antimony (Sb), selenium Se), tellurium (Te) and chromium (Cr)</w:t>
      </w:r>
    </w:p>
    <w:p w:rsidR="00000000" w:rsidRPr="00DC6572" w:rsidP="00DC6572">
      <w:pPr>
        <w:pStyle w:val="ListBullet2"/>
      </w:pPr>
      <w:r w:rsidRPr="00DC6572">
        <w:t>scoria</w:t>
      </w:r>
    </w:p>
    <w:p w:rsidR="00000000" w:rsidRPr="00DC6572" w:rsidP="00DC6572">
      <w:pPr>
        <w:pStyle w:val="ListBullet2"/>
      </w:pPr>
      <w:r w:rsidRPr="00DC6572">
        <w:t>sprouting</w:t>
      </w:r>
    </w:p>
    <w:p w:rsidR="00000000" w:rsidRPr="00DC6572" w:rsidP="00DC6572">
      <w:pPr>
        <w:pStyle w:val="ListBullet"/>
      </w:pPr>
      <w:r w:rsidRPr="00DC6572">
        <w:t>indicators of p</w:t>
      </w:r>
      <w:r w:rsidRPr="00DC6572">
        <w:t>otential loss and the corrective action, including:</w:t>
      </w:r>
    </w:p>
    <w:p w:rsidR="00000000" w:rsidRPr="00DC6572" w:rsidP="00DC6572">
      <w:pPr>
        <w:pStyle w:val="ListBullet2"/>
      </w:pPr>
      <w:r w:rsidRPr="00DC6572">
        <w:t>viscous slag (check furnace temperature, adjust flux and lower charge weight)</w:t>
      </w:r>
    </w:p>
    <w:p w:rsidR="00000000" w:rsidRPr="00DC6572" w:rsidP="00DC6572">
      <w:pPr>
        <w:pStyle w:val="ListBullet2"/>
      </w:pPr>
      <w:r w:rsidRPr="00DC6572">
        <w:t>lead shotting – (adjust flux, lower charge weight to compensate for high oxides, silicates and chromites)</w:t>
      </w:r>
    </w:p>
    <w:p w:rsidR="00000000" w:rsidRPr="00DC6572" w:rsidP="00DC6572">
      <w:pPr>
        <w:pStyle w:val="ListBullet2"/>
      </w:pPr>
      <w:r w:rsidRPr="00DC6572">
        <w:t>sulphides (adjust fusion time, adjust sample weight and/or flux)</w:t>
      </w:r>
    </w:p>
    <w:p w:rsidR="00000000" w:rsidRPr="00DC6572" w:rsidP="00DC6572">
      <w:pPr>
        <w:pStyle w:val="ListBullet2"/>
      </w:pPr>
      <w:r w:rsidRPr="00DC6572">
        <w:t>matte, speiss (adjust sample weight and flux)</w:t>
      </w:r>
    </w:p>
    <w:p w:rsidR="00000000" w:rsidRPr="00DC6572" w:rsidP="00DC6572">
      <w:pPr>
        <w:pStyle w:val="ListBullet2"/>
      </w:pPr>
      <w:r w:rsidRPr="00DC6572">
        <w:t>incomplete fusion (adjust sample weight and/or flux)</w:t>
      </w:r>
    </w:p>
    <w:p w:rsidR="00000000" w:rsidRPr="00DC6572" w:rsidP="00DC6572">
      <w:pPr>
        <w:pStyle w:val="ListBullet2"/>
      </w:pPr>
      <w:r w:rsidRPr="00DC6572">
        <w:t>unacceptable button (adjust sample weight and/or flux)</w:t>
      </w:r>
    </w:p>
    <w:p w:rsidR="00000000" w:rsidRPr="00DC6572" w:rsidP="00DC6572">
      <w:pPr>
        <w:pStyle w:val="ListBullet2"/>
      </w:pPr>
      <w:r w:rsidRPr="00DC6572">
        <w:t xml:space="preserve">inquartation (add three parts silver </w:t>
      </w:r>
      <w:r w:rsidRPr="00DC6572">
        <w:t>(Ag) to prill, wrap in lead foil and re-cupel)</w:t>
      </w:r>
    </w:p>
    <w:p w:rsidR="00000000" w:rsidRPr="00DC6572" w:rsidP="00DC6572">
      <w:pPr>
        <w:pStyle w:val="ListBullet"/>
      </w:pPr>
      <w:r w:rsidRPr="00DC6572">
        <w:t xml:space="preserve">workplace and legal traceability requirements </w:t>
      </w:r>
    </w:p>
    <w:p w:rsidR="00000000" w:rsidRPr="00DC6572" w:rsidP="00DC6572">
      <w:pPr>
        <w:pStyle w:val="ListBullet"/>
      </w:pPr>
      <w:r w:rsidRPr="00DC6572">
        <w:t>relevant hazards and control measures, operation and maintenance of safety equipment, work health and safety (WHS) and environment requirements.</w:t>
      </w:r>
    </w:p>
    <w:p w:rsidR="00000000" w:rsidRPr="00DC6572" w:rsidP="00DC6572">
      <w:pPr>
        <w:pStyle w:val="AllowPageBreak"/>
      </w:pPr>
    </w:p>
    <w:p w:rsidR="00000000" w:rsidRPr="00DC6572" w:rsidP="00DC6572">
      <w:pPr>
        <w:pStyle w:val="Heading1"/>
      </w:pPr>
      <w:bookmarkStart w:id="4" w:name="O_899352"/>
      <w:bookmarkEnd w:id="4"/>
      <w:r w:rsidRPr="00DC6572">
        <w:t>Assessment Conditions</w:t>
      </w:r>
    </w:p>
    <w:p w:rsidR="00000000" w:rsidRPr="00DC6572" w:rsidP="00DC6572">
      <w:pPr>
        <w:pStyle w:val="ListBullet"/>
      </w:pPr>
      <w:r w:rsidRPr="00DC6572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DC6572" w:rsidP="00DC6572">
      <w:pPr>
        <w:pStyle w:val="ListBullet"/>
      </w:pPr>
      <w:r w:rsidRPr="00DC6572">
        <w:t>This unit of competency is to be assessed in</w:t>
      </w:r>
      <w:r w:rsidRPr="00DC6572">
        <w:t xml:space="preserve"> the workplace or a simulated workplace environment. A simulated workplace environment must reflect realistic operational workplace conditions that cover all aspects of workplace performance, including the environment, task skills, task management skills, </w:t>
      </w:r>
      <w:r w:rsidRPr="00DC6572">
        <w:t xml:space="preserve">contingency management skills and job role environment skills.  </w:t>
      </w:r>
    </w:p>
    <w:p w:rsidR="00000000" w:rsidRPr="00DC6572" w:rsidP="00DC6572">
      <w:pPr>
        <w:pStyle w:val="ListBullet"/>
      </w:pPr>
      <w:r w:rsidRPr="00DC6572">
        <w:t xml:space="preserve">Foundation skills are integral to competent performance of the unit and should not be assessed separately. </w:t>
      </w:r>
    </w:p>
    <w:p w:rsidR="00000000" w:rsidRPr="00DC6572" w:rsidP="00DC6572">
      <w:pPr>
        <w:pStyle w:val="ListBullet"/>
      </w:pPr>
      <w:r w:rsidRPr="00DC6572">
        <w:t>Assessment processes and techniques must be appropriate to the language, literacy and numeracy requirements of the work being performed and the needs of the candidate.</w:t>
      </w:r>
    </w:p>
    <w:p w:rsidR="00000000" w:rsidRPr="00DC6572" w:rsidP="00DC6572">
      <w:pPr>
        <w:pStyle w:val="ListBullet"/>
      </w:pPr>
      <w:r w:rsidRPr="00DC6572">
        <w:t>Knowledge evidence may be collected concurrently with performance evidence or through an</w:t>
      </w:r>
      <w:r w:rsidRPr="00DC6572">
        <w:t xml:space="preserve"> independent process, such as workbooks, written assessments or interviews (provided a record is kept in each case).</w:t>
      </w:r>
    </w:p>
    <w:p w:rsidR="00000000" w:rsidRPr="00DC6572" w:rsidP="00DC6572">
      <w:pPr>
        <w:pStyle w:val="ListBullet"/>
      </w:pPr>
      <w:r w:rsidRPr="00DC6572">
        <w:t xml:space="preserve">This unit of competency may be assessed with: </w:t>
      </w:r>
    </w:p>
    <w:p w:rsidR="00000000" w:rsidRPr="00DC6572" w:rsidP="00DC6572">
      <w:pPr>
        <w:pStyle w:val="ListBullet2"/>
      </w:pPr>
      <w:r w:rsidRPr="00DC6572">
        <w:t>MSL953001 Receive and prepare samples for testing</w:t>
      </w:r>
    </w:p>
    <w:p w:rsidR="00000000" w:rsidRPr="00DC6572" w:rsidP="00DC6572">
      <w:pPr>
        <w:pStyle w:val="ListBullet2"/>
      </w:pPr>
      <w:r w:rsidRPr="00DC6572">
        <w:t>MSL943002 Participate in laboratory or fi</w:t>
      </w:r>
      <w:r w:rsidRPr="00DC6572">
        <w:t>eld workplace safety</w:t>
      </w:r>
    </w:p>
    <w:p w:rsidR="00000000" w:rsidRPr="00DC6572" w:rsidP="00DC6572">
      <w:pPr>
        <w:pStyle w:val="ListBullet"/>
      </w:pPr>
      <w:r w:rsidRPr="00DC6572">
        <w:t xml:space="preserve">Holistic assessment methods include: </w:t>
      </w:r>
    </w:p>
    <w:p w:rsidR="00000000" w:rsidRPr="00DC6572" w:rsidP="00DC6572">
      <w:pPr>
        <w:pStyle w:val="ListBullet2"/>
      </w:pPr>
      <w:r w:rsidRPr="00DC6572">
        <w:t>review of quality control performance and analytical results traceable to assay samples prepared by the candidate</w:t>
      </w:r>
    </w:p>
    <w:p w:rsidR="00000000" w:rsidRPr="00DC6572" w:rsidP="00DC6572">
      <w:pPr>
        <w:pStyle w:val="ListBullet2"/>
      </w:pPr>
      <w:r w:rsidRPr="00DC6572">
        <w:t>review of sample records prepared by the candidate</w:t>
      </w:r>
    </w:p>
    <w:p w:rsidR="00000000" w:rsidRPr="00DC6572" w:rsidP="00DC6572">
      <w:pPr>
        <w:pStyle w:val="ListBullet2"/>
      </w:pPr>
      <w:r w:rsidRPr="00DC6572">
        <w:t>feedback from supervisors, pee</w:t>
      </w:r>
      <w:r w:rsidRPr="00DC6572">
        <w:t>rs and/or clients about the candidate’s ability to provide acceptable buttons and prills and troubleshoot and correct common recovery failures</w:t>
      </w:r>
    </w:p>
    <w:p w:rsidR="00000000" w:rsidRPr="00DC6572" w:rsidP="00DC6572">
      <w:pPr>
        <w:pStyle w:val="ListBullet2"/>
      </w:pPr>
      <w:r w:rsidRPr="00DC6572">
        <w:t>written/oral questions about fire pouring techniques, typical recovery problems and corrective actions.</w:t>
      </w:r>
    </w:p>
    <w:p w:rsidR="00000000" w:rsidRPr="00DC6572" w:rsidP="00DC6572">
      <w:pPr>
        <w:pStyle w:val="ListBullet"/>
      </w:pPr>
      <w:r w:rsidRPr="00DC6572">
        <w:t>Access i</w:t>
      </w:r>
      <w:r w:rsidRPr="00DC6572">
        <w:t>s required to instruments, equipment, materials, workplace documentation, procedures and specifications associated with this unit, including, but not limited to:</w:t>
      </w:r>
    </w:p>
    <w:p w:rsidR="00000000" w:rsidRPr="00DC6572" w:rsidP="00DC6572">
      <w:pPr>
        <w:pStyle w:val="ListBullet2"/>
      </w:pPr>
      <w:r w:rsidRPr="00DC6572">
        <w:t>a variety of precious metal ore samples and associated fire assay methods, fire assay materia</w:t>
      </w:r>
      <w:r w:rsidRPr="00DC6572">
        <w:t>ls and reagents</w:t>
      </w:r>
    </w:p>
    <w:p w:rsidR="00000000" w:rsidRPr="00DC6572" w:rsidP="00DC6572">
      <w:pPr>
        <w:pStyle w:val="ListBullet2"/>
      </w:pPr>
      <w:r w:rsidRPr="00DC6572">
        <w:t>client requests and documentation, such as client profile, sample identification, sample receipt, storage and analyses, required preparation method and service charges</w:t>
      </w:r>
    </w:p>
    <w:p w:rsidR="00000000" w:rsidRPr="00DC6572" w:rsidP="00DC6572">
      <w:pPr>
        <w:pStyle w:val="ListBullet2"/>
      </w:pPr>
      <w:r w:rsidRPr="00DC6572">
        <w:t>assay equipment, such as:</w:t>
      </w:r>
    </w:p>
    <w:p w:rsidR="00000000" w:rsidRPr="00DC6572" w:rsidP="00DC6572">
      <w:pPr>
        <w:pStyle w:val="ListBullet3"/>
      </w:pPr>
      <w:r w:rsidRPr="00DC6572">
        <w:t>mixing equipment and balances</w:t>
      </w:r>
    </w:p>
    <w:p w:rsidR="00000000" w:rsidRPr="00DC6572" w:rsidP="00DC6572">
      <w:pPr>
        <w:pStyle w:val="ListBullet3"/>
      </w:pPr>
      <w:r w:rsidRPr="00DC6572">
        <w:t>fusion and muffle furnaces and associated spares</w:t>
      </w:r>
    </w:p>
    <w:p w:rsidR="00000000" w:rsidRPr="00DC6572" w:rsidP="00DC6572">
      <w:pPr>
        <w:pStyle w:val="ListBullet3"/>
      </w:pPr>
      <w:r w:rsidRPr="00DC6572">
        <w:t>temperature sensors and hotplates</w:t>
      </w:r>
    </w:p>
    <w:p w:rsidR="00000000" w:rsidRPr="00DC6572" w:rsidP="00DC6572">
      <w:pPr>
        <w:pStyle w:val="ListBullet3"/>
      </w:pPr>
      <w:r w:rsidRPr="00DC6572">
        <w:t>compressed air service, extraction systems and fuel supply lines</w:t>
      </w:r>
    </w:p>
    <w:p w:rsidR="00000000" w:rsidRPr="00DC6572" w:rsidP="00DC6572">
      <w:pPr>
        <w:pStyle w:val="ListBullet3"/>
      </w:pPr>
      <w:r w:rsidRPr="00DC6572">
        <w:t>cupels, pouring equipment, pot loader, trolleys, moulds, tongs and hammers</w:t>
      </w:r>
    </w:p>
    <w:p w:rsidR="00000000" w:rsidRPr="00DC6572" w:rsidP="00DC6572">
      <w:pPr>
        <w:pStyle w:val="ListBullet3"/>
      </w:pPr>
      <w:r w:rsidRPr="00DC6572">
        <w:t>pots, including ceramic, acidic/b</w:t>
      </w:r>
      <w:r w:rsidRPr="00DC6572">
        <w:t>asic, alumina, zirconia and graphite</w:t>
      </w:r>
    </w:p>
    <w:p w:rsidR="00000000" w:rsidRPr="00DC6572" w:rsidP="00DC6572">
      <w:pPr>
        <w:pStyle w:val="ListBullet"/>
      </w:pPr>
      <w:r w:rsidRPr="00DC6572">
        <w:t>collectors, including litharge or lead (II) oxide (PbO) for pot fusion and silver (AGNO3) for the cupellation</w:t>
      </w:r>
    </w:p>
    <w:p w:rsidR="00000000" w:rsidRPr="00DC6572" w:rsidP="00DC6572">
      <w:pPr>
        <w:pStyle w:val="ListBullet"/>
      </w:pPr>
      <w:r w:rsidRPr="00DC6572">
        <w:t>fluxes, including:</w:t>
      </w:r>
    </w:p>
    <w:p w:rsidR="00000000" w:rsidRPr="00DC6572" w:rsidP="00DC6572">
      <w:pPr>
        <w:pStyle w:val="ListBullet2"/>
      </w:pPr>
      <w:r w:rsidRPr="00DC6572">
        <w:t>bulk fluxes containing lead (II) oxide (PbO), borax, soda ash, silica, silver nitrate and flour</w:t>
      </w:r>
    </w:p>
    <w:p w:rsidR="00000000" w:rsidRPr="00DC6572" w:rsidP="00DC6572">
      <w:pPr>
        <w:pStyle w:val="ListBullet2"/>
      </w:pPr>
      <w:r w:rsidRPr="00DC6572">
        <w:t>non-standard flux additives, such as:</w:t>
      </w:r>
    </w:p>
    <w:p w:rsidR="00000000" w:rsidRPr="00DC6572" w:rsidP="00DC6572">
      <w:pPr>
        <w:pStyle w:val="ListBullet3"/>
      </w:pPr>
      <w:r w:rsidRPr="00DC6572">
        <w:t>flour (oxidising samples)</w:t>
      </w:r>
    </w:p>
    <w:p w:rsidR="00000000" w:rsidRPr="00DC6572" w:rsidP="00DC6572">
      <w:pPr>
        <w:pStyle w:val="ListBullet3"/>
      </w:pPr>
      <w:r w:rsidRPr="00DC6572">
        <w:t>potassium nitrate (reducing samples and sulphides)</w:t>
      </w:r>
    </w:p>
    <w:p w:rsidR="00000000" w:rsidRPr="00DC6572" w:rsidP="00DC6572">
      <w:pPr>
        <w:pStyle w:val="ListBullet3"/>
      </w:pPr>
      <w:r w:rsidRPr="00DC6572">
        <w:t>silica (basic ores)</w:t>
      </w:r>
    </w:p>
    <w:p w:rsidR="00000000" w:rsidRPr="00DC6572" w:rsidP="00DC6572">
      <w:pPr>
        <w:pStyle w:val="ListBullet3"/>
      </w:pPr>
      <w:r w:rsidRPr="00DC6572">
        <w:t>lead as PbO (siliceous ores)</w:t>
      </w:r>
    </w:p>
    <w:p w:rsidR="00000000" w:rsidRPr="00DC6572" w:rsidP="00DC6572">
      <w:pPr>
        <w:pStyle w:val="ListBullet"/>
      </w:pPr>
      <w:r w:rsidRPr="00DC6572">
        <w:t>safety equipment and safe work procedures.</w:t>
      </w:r>
    </w:p>
    <w:p w:rsidR="00000000" w:rsidRPr="00DC6572" w:rsidP="00DC6572">
      <w:pPr>
        <w:pStyle w:val="ListBullet"/>
      </w:pPr>
      <w:r w:rsidRPr="00DC6572">
        <w:t xml:space="preserve">Assessors must satisfy the assessor competency requirements that are in place at the time of the assessment as set by the VET regulator.  </w:t>
      </w:r>
    </w:p>
    <w:p w:rsidR="00000000" w:rsidRPr="00DC6572" w:rsidP="00DC6572">
      <w:pPr>
        <w:pStyle w:val="ListBullet"/>
      </w:pPr>
      <w:r w:rsidRPr="00DC6572">
        <w:t>The assessor must demonstrate both technical</w:t>
      </w:r>
      <w:r w:rsidRPr="00DC6572">
        <w:t xml:space="preserve"> competence and currency.</w:t>
      </w:r>
    </w:p>
    <w:p w:rsidR="00000000" w:rsidRPr="00DC6572" w:rsidP="00DC6572">
      <w:pPr>
        <w:pStyle w:val="ListBullet"/>
      </w:pPr>
      <w:r w:rsidRPr="00DC6572">
        <w:t>Technical competence can be demonstrated through:</w:t>
      </w:r>
    </w:p>
    <w:p w:rsidR="00000000" w:rsidRPr="00DC6572" w:rsidP="00DC6572">
      <w:pPr>
        <w:pStyle w:val="ListBullet2"/>
      </w:pPr>
      <w:r w:rsidRPr="00DC6572">
        <w:t>relevant VET or other qualification/Statement of Attainment AND/OR</w:t>
      </w:r>
    </w:p>
    <w:p w:rsidR="00000000" w:rsidRPr="00DC6572" w:rsidP="00DC6572">
      <w:pPr>
        <w:pStyle w:val="ListBullet2"/>
      </w:pPr>
      <w:r w:rsidRPr="00DC6572">
        <w:t>relevant workplace experience.</w:t>
      </w:r>
    </w:p>
    <w:p w:rsidR="00000000" w:rsidRPr="00DC6572" w:rsidP="00DC6572">
      <w:pPr>
        <w:pStyle w:val="ListBullet"/>
      </w:pPr>
      <w:r w:rsidRPr="00DC6572">
        <w:t>Currency can be demonstrated through:</w:t>
      </w:r>
    </w:p>
    <w:p w:rsidR="00000000" w:rsidRPr="00DC6572" w:rsidP="00DC6572">
      <w:pPr>
        <w:pStyle w:val="ListBullet2"/>
      </w:pPr>
      <w:r w:rsidRPr="00DC6572">
        <w:t>performing the competency being assessed as part of current employment OR</w:t>
      </w:r>
    </w:p>
    <w:p w:rsidR="00000000" w:rsidRPr="00DC6572" w:rsidP="00DC6572">
      <w:pPr>
        <w:pStyle w:val="ListBullet2"/>
      </w:pPr>
      <w:r w:rsidRPr="00DC6572">
        <w:t>having consulted with a laboratory about performing the competency being assessed within the last twelve months.</w:t>
      </w:r>
    </w:p>
    <w:p w:rsidR="00000000" w:rsidRPr="00DC6572" w:rsidP="00DC6572">
      <w:pPr>
        <w:pStyle w:val="AllowPageBreak"/>
      </w:pPr>
    </w:p>
    <w:p w:rsidR="00000000" w:rsidRPr="00DC6572" w:rsidP="00DC6572">
      <w:pPr>
        <w:pStyle w:val="Heading1"/>
      </w:pPr>
      <w:bookmarkStart w:id="5" w:name="O_899350"/>
      <w:bookmarkEnd w:id="5"/>
      <w:r w:rsidRPr="00DC6572">
        <w:t>Links</w:t>
      </w:r>
    </w:p>
    <w:p w:rsidR="00000000" w:rsidRPr="00DC6572" w:rsidP="00DC6572">
      <w:pPr>
        <w:pStyle w:val="BodyText"/>
      </w:pPr>
      <w:r w:rsidRPr="00DC6572">
        <w:t>MSA Training Package Implementation Guides - h</w:t>
      </w:r>
      <w:r w:rsidRPr="00DC6572">
        <w:t>ttp://mskills.org.au/training-packages/info/</w:t>
      </w:r>
    </w:p>
    <w:p w:rsidR="00000000" w:rsidRPr="00DC6572" w:rsidP="00DC6572"/>
    <w:sectPr w:rsidSect="00DC65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5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572" w:rsidRPr="002D7265" w:rsidP="002D7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5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265" w:rsidP="00DC65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7265" w:rsidP="00DC65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D7265" w:rsidP="00DC65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5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572" w:rsidRPr="002D7265" w:rsidP="002D726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5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265" w:rsidRPr="002D2AF8" w:rsidP="00DC65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MSL973011 Perform fire pouring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2D7265" w:rsidP="00DC65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AAAD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18E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287C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5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5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5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5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5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5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5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5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5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5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5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572"/>
  </w:style>
  <w:style w:type="character" w:customStyle="1" w:styleId="Heading1Char">
    <w:name w:val="Heading 1 Char"/>
    <w:basedOn w:val="DefaultParagraphFont"/>
    <w:link w:val="Heading1"/>
    <w:rsid w:val="00DC65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5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5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6572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6572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65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5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657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65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5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5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5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5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5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5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5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5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5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5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5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5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5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65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65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6572"/>
    <w:rPr>
      <w:b/>
      <w:spacing w:val="0"/>
    </w:rPr>
  </w:style>
  <w:style w:type="paragraph" w:customStyle="1" w:styleId="SuperTitle">
    <w:name w:val="SuperTitle"/>
    <w:basedOn w:val="Title"/>
    <w:rsid w:val="00DC65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5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5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65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5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5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5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5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5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5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5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5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6572"/>
    <w:rPr>
      <w:i/>
    </w:rPr>
  </w:style>
  <w:style w:type="paragraph" w:styleId="Caption">
    <w:name w:val="caption"/>
    <w:basedOn w:val="BodyText"/>
    <w:next w:val="Normal"/>
    <w:qFormat/>
    <w:rsid w:val="00DC65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5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5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572"/>
  </w:style>
  <w:style w:type="paragraph" w:styleId="TableofFigures">
    <w:name w:val="table of figures"/>
    <w:basedOn w:val="Normal"/>
    <w:next w:val="Normal"/>
    <w:semiHidden/>
    <w:rsid w:val="00DC65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572"/>
    <w:pPr>
      <w:numPr>
        <w:numId w:val="12"/>
      </w:numPr>
    </w:pPr>
  </w:style>
  <w:style w:type="character" w:customStyle="1" w:styleId="WingdingSymbols">
    <w:name w:val="Wingding Symbols"/>
    <w:rsid w:val="00DC6572"/>
    <w:rPr>
      <w:rFonts w:ascii="Wingdings" w:hAnsi="Wingdings"/>
    </w:rPr>
  </w:style>
  <w:style w:type="paragraph" w:customStyle="1" w:styleId="TableHeading">
    <w:name w:val="Table Heading"/>
    <w:basedOn w:val="HeadingBase"/>
    <w:rsid w:val="00DC65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572"/>
    <w:rPr>
      <w:color w:val="0033CC"/>
      <w:u w:val="none"/>
    </w:rPr>
  </w:style>
  <w:style w:type="paragraph" w:customStyle="1" w:styleId="BodyTextRight">
    <w:name w:val="Body Text Right"/>
    <w:basedOn w:val="BodyText"/>
    <w:rsid w:val="00DC65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5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57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5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5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5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572"/>
    <w:rPr>
      <w:sz w:val="32"/>
    </w:rPr>
  </w:style>
  <w:style w:type="paragraph" w:customStyle="1" w:styleId="HeadingProcedure">
    <w:name w:val="Heading Procedure"/>
    <w:basedOn w:val="HeadingBase"/>
    <w:next w:val="Normal"/>
    <w:rsid w:val="00DC65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572"/>
    <w:pPr>
      <w:spacing w:before="60" w:after="60"/>
    </w:pPr>
  </w:style>
  <w:style w:type="paragraph" w:styleId="ListContinue">
    <w:name w:val="List Continue"/>
    <w:basedOn w:val="List"/>
    <w:rsid w:val="00DC6572"/>
    <w:pPr>
      <w:ind w:firstLine="0"/>
    </w:pPr>
  </w:style>
  <w:style w:type="paragraph" w:customStyle="1" w:styleId="ListNote">
    <w:name w:val="List Note"/>
    <w:basedOn w:val="List"/>
    <w:rsid w:val="00DC65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5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5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572"/>
    <w:rPr>
      <w:rFonts w:ascii="Courier New" w:hAnsi="Courier New"/>
    </w:rPr>
  </w:style>
  <w:style w:type="paragraph" w:customStyle="1" w:styleId="NoteBullet">
    <w:name w:val="Note Bullet"/>
    <w:basedOn w:val="Note"/>
    <w:rsid w:val="00DC65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5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5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5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57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DC65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5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572"/>
    <w:rPr>
      <w:b/>
      <w:smallCaps/>
    </w:rPr>
  </w:style>
  <w:style w:type="paragraph" w:customStyle="1" w:styleId="TableListNumber">
    <w:name w:val="Table List Number"/>
    <w:basedOn w:val="ListNumber"/>
    <w:rsid w:val="00DC65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5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572"/>
    <w:pPr>
      <w:numPr>
        <w:numId w:val="10"/>
      </w:numPr>
    </w:pPr>
  </w:style>
  <w:style w:type="paragraph" w:customStyle="1" w:styleId="ListAlpha2">
    <w:name w:val="List Alpha 2"/>
    <w:basedOn w:val="List2"/>
    <w:rsid w:val="00DC6572"/>
    <w:pPr>
      <w:numPr>
        <w:numId w:val="9"/>
      </w:numPr>
    </w:pPr>
  </w:style>
  <w:style w:type="paragraph" w:styleId="List2">
    <w:name w:val="List 2"/>
    <w:basedOn w:val="BodyText"/>
    <w:rsid w:val="00DC65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5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5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57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657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6572"/>
    <w:pPr>
      <w:numPr>
        <w:numId w:val="5"/>
      </w:numPr>
    </w:pPr>
  </w:style>
  <w:style w:type="paragraph" w:styleId="ListContinue2">
    <w:name w:val="List Continue 2"/>
    <w:basedOn w:val="List2"/>
    <w:rsid w:val="00DC6572"/>
    <w:pPr>
      <w:ind w:firstLine="0"/>
    </w:pPr>
  </w:style>
  <w:style w:type="paragraph" w:styleId="ListContinue3">
    <w:name w:val="List Continue 3"/>
    <w:basedOn w:val="List3"/>
    <w:rsid w:val="00DC6572"/>
    <w:pPr>
      <w:ind w:left="1021" w:firstLine="0"/>
    </w:pPr>
  </w:style>
  <w:style w:type="paragraph" w:styleId="ListContinue4">
    <w:name w:val="List Continue 4"/>
    <w:basedOn w:val="List4"/>
    <w:rsid w:val="00DC6572"/>
    <w:pPr>
      <w:ind w:firstLine="0"/>
    </w:pPr>
  </w:style>
  <w:style w:type="paragraph" w:styleId="ListContinue5">
    <w:name w:val="List Continue 5"/>
    <w:basedOn w:val="List5"/>
    <w:rsid w:val="00DC6572"/>
    <w:pPr>
      <w:ind w:firstLine="0"/>
    </w:pPr>
  </w:style>
  <w:style w:type="paragraph" w:styleId="ListNumber3">
    <w:name w:val="List Number 3"/>
    <w:basedOn w:val="List3"/>
    <w:rsid w:val="00DC6572"/>
    <w:pPr>
      <w:numPr>
        <w:numId w:val="6"/>
      </w:numPr>
    </w:pPr>
  </w:style>
  <w:style w:type="paragraph" w:styleId="ListNumber4">
    <w:name w:val="List Number 4"/>
    <w:basedOn w:val="List4"/>
    <w:rsid w:val="00DC6572"/>
    <w:pPr>
      <w:numPr>
        <w:numId w:val="7"/>
      </w:numPr>
    </w:pPr>
  </w:style>
  <w:style w:type="paragraph" w:styleId="ListNumber5">
    <w:name w:val="List Number 5"/>
    <w:basedOn w:val="List5"/>
    <w:rsid w:val="00DC6572"/>
    <w:pPr>
      <w:numPr>
        <w:numId w:val="8"/>
      </w:numPr>
    </w:pPr>
  </w:style>
  <w:style w:type="paragraph" w:styleId="BlockText">
    <w:name w:val="Block Text"/>
    <w:basedOn w:val="Normal"/>
    <w:rsid w:val="00DC65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5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572"/>
    <w:rPr>
      <w:sz w:val="16"/>
      <w:vertAlign w:val="superscript"/>
    </w:rPr>
  </w:style>
  <w:style w:type="character" w:customStyle="1" w:styleId="Symbols">
    <w:name w:val="Symbols"/>
    <w:basedOn w:val="DefaultParagraphFont"/>
    <w:rsid w:val="00DC6572"/>
    <w:rPr>
      <w:rFonts w:ascii="Symbol" w:hAnsi="Symbol"/>
    </w:rPr>
  </w:style>
  <w:style w:type="character" w:customStyle="1" w:styleId="MenuOptions">
    <w:name w:val="Menu Options"/>
    <w:basedOn w:val="DefaultParagraphFont"/>
    <w:rsid w:val="00DC65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572"/>
    <w:rPr>
      <w:b/>
    </w:rPr>
  </w:style>
  <w:style w:type="character" w:customStyle="1" w:styleId="Underlined">
    <w:name w:val="Underlined"/>
    <w:basedOn w:val="DefaultParagraphFont"/>
    <w:rsid w:val="00DC6572"/>
    <w:rPr>
      <w:u w:val="single"/>
    </w:rPr>
  </w:style>
  <w:style w:type="paragraph" w:customStyle="1" w:styleId="TableBodyTextRight">
    <w:name w:val="Table Body Text Right"/>
    <w:basedOn w:val="TableBodyText"/>
    <w:rsid w:val="00DC65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572"/>
    <w:rPr>
      <w:sz w:val="18"/>
    </w:rPr>
  </w:style>
  <w:style w:type="paragraph" w:customStyle="1" w:styleId="BodySmallRight">
    <w:name w:val="Body Small Right"/>
    <w:basedOn w:val="BodyTextRight"/>
    <w:rsid w:val="00DC6572"/>
    <w:rPr>
      <w:sz w:val="18"/>
      <w:szCs w:val="18"/>
    </w:rPr>
  </w:style>
  <w:style w:type="paragraph" w:customStyle="1" w:styleId="MarginEdition">
    <w:name w:val="Margin Edition"/>
    <w:basedOn w:val="MarginNote"/>
    <w:rsid w:val="00DC65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572"/>
    <w:rPr>
      <w:sz w:val="2"/>
      <w:szCs w:val="2"/>
    </w:rPr>
  </w:style>
  <w:style w:type="character" w:customStyle="1" w:styleId="Small">
    <w:name w:val="Small"/>
    <w:basedOn w:val="DefaultParagraphFont"/>
    <w:rsid w:val="00DC6572"/>
    <w:rPr>
      <w:sz w:val="16"/>
    </w:rPr>
  </w:style>
  <w:style w:type="paragraph" w:customStyle="1" w:styleId="WideTable">
    <w:name w:val="Wide Table"/>
    <w:basedOn w:val="Normal"/>
    <w:rsid w:val="00DC65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572"/>
  </w:style>
  <w:style w:type="paragraph" w:styleId="Quote">
    <w:name w:val="Quote"/>
    <w:basedOn w:val="Heading1"/>
    <w:link w:val="QuoteChar"/>
    <w:qFormat/>
    <w:rsid w:val="00DC65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5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572"/>
    <w:pPr>
      <w:pageBreakBefore/>
    </w:pPr>
  </w:style>
  <w:style w:type="paragraph" w:customStyle="1" w:styleId="Border">
    <w:name w:val="Border"/>
    <w:basedOn w:val="Normal"/>
    <w:qFormat/>
    <w:rsid w:val="00DC65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5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5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5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5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5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5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5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5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572"/>
    <w:rPr>
      <w:u w:val="single"/>
    </w:rPr>
  </w:style>
  <w:style w:type="character" w:customStyle="1" w:styleId="BoldandItalics">
    <w:name w:val="Bold and Italics"/>
    <w:qFormat/>
    <w:rsid w:val="00DC6572"/>
    <w:rPr>
      <w:b/>
      <w:i/>
      <w:u w:val="none"/>
    </w:rPr>
  </w:style>
  <w:style w:type="paragraph" w:styleId="BalloonText">
    <w:name w:val="Balloon Text"/>
    <w:basedOn w:val="Normal"/>
    <w:link w:val="BalloonTextChar"/>
    <w:rsid w:val="00DC6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5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5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5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5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5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943</Words>
  <Characters>5997</Characters>
  <Application>Microsoft Office Word</Application>
  <DocSecurity>0</DocSecurity>
  <Lines>134</Lines>
  <Paragraphs>96</Paragraphs>
  <ScaleCrop>false</ScaleCrop>
  <Company>Author-it Software Corporation Ltd.</Company>
  <LinksUpToDate>false</LinksUpToDate>
  <CharactersWithSpaces>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MSL973011 Perform fire pouring techniques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2016-03-01T06:31:00Z</dcterms:created>
  <dcterms:modified xsi:type="dcterms:W3CDTF">2016-03-01T06:31:00Z</dcterms:modified>
</cp:coreProperties>
</file>