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2D6" w:rsidP="00B92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MSL973010 Conduct laboratory-based acceptance tests for construction materials</w:t>
      </w:r>
      <w:r>
        <w:fldChar w:fldCharType="end"/>
      </w:r>
    </w:p>
    <w:p w:rsidR="00B922D6" w:rsidP="00B922D6">
      <w:pPr>
        <w:pStyle w:val="Version"/>
        <w:sectPr w:rsidSect="00A22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BAF" w:rsidP="00A22BAF">
      <w:pPr>
        <w:pStyle w:val="SuperHeading"/>
      </w:pPr>
      <w:r w:rsidRPr="00A22BAF">
        <w:t>Assessment Requirements for MSL973010 Conduct laboratory-based acceptance tests for construction materials</w:t>
      </w:r>
    </w:p>
    <w:p w:rsidR="00000000" w:rsidRPr="00A22BAF" w:rsidP="00A22BAF">
      <w:pPr>
        <w:pStyle w:val="Heading1"/>
      </w:pPr>
      <w:bookmarkStart w:id="1" w:name="O_899332"/>
      <w:bookmarkEnd w:id="1"/>
      <w:r w:rsidRPr="00A22BAF">
        <w:t>Modification History</w:t>
      </w:r>
    </w:p>
    <w:p w:rsidR="00000000" w:rsidRPr="00A22BAF" w:rsidP="00A22BAF">
      <w:pPr>
        <w:pStyle w:val="BodyText"/>
      </w:pPr>
      <w:r w:rsidRPr="00A22BAF">
        <w:t>Release 1. Supersedes and is equivalent to MSL973010A Conduct laboratory-based acceptance tests for construction materials</w:t>
      </w:r>
    </w:p>
    <w:p w:rsidR="00000000" w:rsidRPr="00A22BAF" w:rsidP="00A22BAF">
      <w:pPr>
        <w:pStyle w:val="AllowPageBreak"/>
      </w:pPr>
    </w:p>
    <w:p w:rsidR="00000000" w:rsidRPr="00A22BAF" w:rsidP="00A22BAF">
      <w:pPr>
        <w:pStyle w:val="Heading1"/>
      </w:pPr>
      <w:bookmarkStart w:id="2" w:name="O_899335"/>
      <w:bookmarkEnd w:id="2"/>
      <w:r w:rsidRPr="00A22BAF">
        <w:t>Performance Evidence</w:t>
      </w:r>
    </w:p>
    <w:p w:rsidR="00000000" w:rsidRPr="00A22BAF" w:rsidP="00A22BAF">
      <w:pPr>
        <w:pStyle w:val="BodyText"/>
      </w:pPr>
      <w:r w:rsidRPr="00A22BAF">
        <w:t>Evidence of competence in this unit must satisfy all of the requirements of the elements and pe</w:t>
      </w:r>
      <w:r w:rsidRPr="00A22BAF">
        <w:t>rformance criteria, and include demonstration of:</w:t>
      </w:r>
    </w:p>
    <w:p w:rsidR="00000000" w:rsidRPr="00A22BAF" w:rsidP="00A22BAF">
      <w:pPr>
        <w:pStyle w:val="ListBullet"/>
      </w:pPr>
      <w:r w:rsidRPr="00A22BAF">
        <w:t>safely preparing at least three (3) different laboratory samples or test pieces and conducting laboratory tests on them to confirm their acceptability</w:t>
      </w:r>
    </w:p>
    <w:p w:rsidR="00000000" w:rsidRPr="00A22BAF" w:rsidP="00A22BAF">
      <w:pPr>
        <w:pStyle w:val="ListBullet"/>
      </w:pPr>
      <w:r w:rsidRPr="00A22BAF">
        <w:t>safely conducting laboratory-based acceptance tests in</w:t>
      </w:r>
      <w:r w:rsidRPr="00A22BAF">
        <w:t xml:space="preserve"> accordance with workplace procedures and test methods to provide reliable data within the required timeframe</w:t>
      </w:r>
    </w:p>
    <w:p w:rsidR="00000000" w:rsidRPr="00A22BAF" w:rsidP="00A22BAF">
      <w:pPr>
        <w:pStyle w:val="ListBullet"/>
      </w:pPr>
      <w:r w:rsidRPr="00A22BAF">
        <w:t xml:space="preserve">planning efficient work sequences involving multiple/parallel tasks </w:t>
      </w:r>
    </w:p>
    <w:p w:rsidR="00000000" w:rsidRPr="00A22BAF" w:rsidP="00A22BAF">
      <w:pPr>
        <w:pStyle w:val="ListBullet"/>
      </w:pPr>
      <w:r w:rsidRPr="00A22BAF">
        <w:t>checking, operating, cleaning, maintaining and storing test equipment in acco</w:t>
      </w:r>
      <w:r w:rsidRPr="00A22BAF">
        <w:t>rdance with workplace procedures</w:t>
      </w:r>
    </w:p>
    <w:p w:rsidR="00000000" w:rsidRPr="00A22BAF" w:rsidP="00A22BAF">
      <w:pPr>
        <w:pStyle w:val="ListBullet"/>
      </w:pPr>
      <w:r w:rsidRPr="00A22BAF">
        <w:t xml:space="preserve">recognising obvious errors or atypical data and taking appropriate corrective actions </w:t>
      </w:r>
    </w:p>
    <w:p w:rsidR="00000000" w:rsidRPr="00A22BAF" w:rsidP="00A22BAF">
      <w:pPr>
        <w:pStyle w:val="ListBullet"/>
      </w:pPr>
      <w:r w:rsidRPr="00A22BAF">
        <w:t>estimating and calculating simple scientific quantities, such as density and moisture content</w:t>
      </w:r>
    </w:p>
    <w:p w:rsidR="00000000" w:rsidRPr="00A22BAF" w:rsidP="00A22BAF">
      <w:pPr>
        <w:pStyle w:val="ListBullet"/>
      </w:pPr>
      <w:r w:rsidRPr="00A22BAF">
        <w:t>recording and presenting results accuratel</w:t>
      </w:r>
      <w:r w:rsidRPr="00A22BAF">
        <w:t>y and legibly</w:t>
      </w:r>
    </w:p>
    <w:p w:rsidR="00000000" w:rsidRPr="00A22BAF" w:rsidP="00A22BAF">
      <w:pPr>
        <w:pStyle w:val="ListBullet"/>
      </w:pPr>
      <w:r w:rsidRPr="00A22BAF">
        <w:t>maintaining security, integrity and traceability of all samples, test pieces, test data, results and documentation</w:t>
      </w:r>
    </w:p>
    <w:p w:rsidR="00000000" w:rsidRPr="00A22BAF" w:rsidP="00A22BAF">
      <w:pPr>
        <w:pStyle w:val="ListBullet"/>
      </w:pPr>
      <w:r w:rsidRPr="00A22BAF">
        <w:t>keeping accurate and complete technical and administrative records.</w:t>
      </w:r>
    </w:p>
    <w:p w:rsidR="00000000" w:rsidRPr="00A22BAF" w:rsidP="00A22BAF">
      <w:pPr>
        <w:pStyle w:val="AllowPageBreak"/>
      </w:pPr>
    </w:p>
    <w:p w:rsidR="00000000" w:rsidRPr="00A22BAF" w:rsidP="00A22BAF">
      <w:pPr>
        <w:pStyle w:val="Heading1"/>
      </w:pPr>
      <w:bookmarkStart w:id="3" w:name="O_899334"/>
      <w:bookmarkEnd w:id="3"/>
      <w:r w:rsidRPr="00A22BAF">
        <w:t>Knowledge Evidence</w:t>
      </w:r>
    </w:p>
    <w:p w:rsidR="00000000" w:rsidRPr="00A22BAF" w:rsidP="00A22BAF">
      <w:pPr>
        <w:pStyle w:val="BodyText"/>
      </w:pPr>
      <w:r w:rsidRPr="00A22BAF">
        <w:t>Must provide evidence t</w:t>
      </w:r>
      <w:r w:rsidRPr="00A22BAF">
        <w:t>hat demonstrates knowledge of:</w:t>
      </w:r>
    </w:p>
    <w:p w:rsidR="00000000" w:rsidRPr="00A22BAF" w:rsidP="00A22BAF">
      <w:pPr>
        <w:pStyle w:val="ListBullet"/>
      </w:pPr>
      <w:r w:rsidRPr="00A22BAF">
        <w:t>the purpose and principles of construction materials tests performed as part of job role and key preparation/measurement steps in the test methods</w:t>
      </w:r>
    </w:p>
    <w:p w:rsidR="00000000" w:rsidRPr="00A22BAF" w:rsidP="00A22BAF">
      <w:pPr>
        <w:pStyle w:val="ListBullet"/>
      </w:pPr>
      <w:r w:rsidRPr="00A22BAF">
        <w:t>the properties of construction materials under test</w:t>
      </w:r>
    </w:p>
    <w:p w:rsidR="00000000" w:rsidRPr="00A22BAF" w:rsidP="00A22BAF">
      <w:pPr>
        <w:pStyle w:val="ListBullet"/>
      </w:pPr>
      <w:r w:rsidRPr="00A22BAF">
        <w:t>calculation steps to give</w:t>
      </w:r>
      <w:r w:rsidRPr="00A22BAF">
        <w:t xml:space="preserve"> results in appropriate units and precision</w:t>
      </w:r>
    </w:p>
    <w:p w:rsidR="00000000" w:rsidRPr="00A22BAF" w:rsidP="00A22BAF">
      <w:pPr>
        <w:pStyle w:val="ListBullet"/>
      </w:pPr>
      <w:r w:rsidRPr="00A22BAF">
        <w:t>expected values for sample type and sources of uncertainty (and methods for control) in construction materials tests routinely used in job role</w:t>
      </w:r>
    </w:p>
    <w:p w:rsidR="00000000" w:rsidRPr="00A22BAF" w:rsidP="00A22BAF">
      <w:pPr>
        <w:pStyle w:val="ListBullet"/>
      </w:pPr>
      <w:r w:rsidRPr="00A22BAF">
        <w:t>pre-use checks and operating procedures for test equipment routinely used in job role</w:t>
      </w:r>
    </w:p>
    <w:p w:rsidR="00000000" w:rsidRPr="00A22BAF" w:rsidP="00A22BAF">
      <w:pPr>
        <w:pStyle w:val="ListBullet"/>
      </w:pPr>
      <w:r w:rsidRPr="00A22BAF">
        <w:t>procedures for recording and reporting test results, calculations, test observations, and unexpected or atypical results and equipment problems</w:t>
      </w:r>
    </w:p>
    <w:p w:rsidR="00000000" w:rsidRPr="00A22BAF" w:rsidP="00A22BAF">
      <w:pPr>
        <w:pStyle w:val="ListBullet"/>
      </w:pPr>
      <w:r w:rsidRPr="00A22BAF">
        <w:t>procedures for ensuring tr</w:t>
      </w:r>
      <w:r w:rsidRPr="00A22BAF">
        <w:t>aceability of samples, test pieces, test data and results</w:t>
      </w:r>
    </w:p>
    <w:p w:rsidR="00000000" w:rsidRPr="00A22BAF" w:rsidP="00A22BAF">
      <w:pPr>
        <w:pStyle w:val="ListBullet"/>
      </w:pPr>
      <w:r w:rsidRPr="00A22BAF">
        <w:t>workplace confidentiality requirements relevant to job role</w:t>
      </w:r>
    </w:p>
    <w:p w:rsidR="00000000" w:rsidRPr="00A22BAF" w:rsidP="00A22BAF">
      <w:pPr>
        <w:pStyle w:val="ListBullet"/>
      </w:pPr>
      <w:r w:rsidRPr="00A22BAF">
        <w:t>relevant hazards, work health and safety (WHS) and environmental management requirements.</w:t>
      </w:r>
    </w:p>
    <w:p w:rsidR="00000000" w:rsidRPr="00A22BAF" w:rsidP="00A22BAF">
      <w:pPr>
        <w:pStyle w:val="AllowPageBreak"/>
      </w:pPr>
    </w:p>
    <w:p w:rsidR="00000000" w:rsidRPr="00A22BAF" w:rsidP="00A22BAF">
      <w:pPr>
        <w:pStyle w:val="Heading1"/>
      </w:pPr>
      <w:bookmarkStart w:id="4" w:name="O_899333"/>
      <w:bookmarkEnd w:id="4"/>
      <w:r w:rsidRPr="00A22BAF">
        <w:t>Assessment Conditions</w:t>
      </w:r>
    </w:p>
    <w:p w:rsidR="00000000" w:rsidRPr="00A22BAF" w:rsidP="00A22BAF">
      <w:pPr>
        <w:pStyle w:val="ListBullet"/>
      </w:pPr>
      <w:r w:rsidRPr="00A22BAF">
        <w:t>Judgemen</w:t>
      </w:r>
      <w:r w:rsidRPr="00A22BAF">
        <w:t xml:space="preserve">t of competence must be based on holistic assessment of the evidence. Assessment methods must confirm consistency of performance over time, rather than a single assessment event. </w:t>
      </w:r>
    </w:p>
    <w:p w:rsidR="00000000" w:rsidRPr="00A22BAF" w:rsidP="00A22BAF">
      <w:pPr>
        <w:pStyle w:val="ListBullet"/>
      </w:pPr>
      <w:r w:rsidRPr="00A22BAF">
        <w:t>This unit of competency is to be assessed in the workplace or a simulated wo</w:t>
      </w:r>
      <w:r w:rsidRPr="00A22BAF">
        <w:t>rkplace environment. A simulated workplace environment must reflect realistic operational workplace conditions that cover all aspects of workplace performance, including the environment, task skills, task management skills, contingency management skills an</w:t>
      </w:r>
      <w:r w:rsidRPr="00A22BAF">
        <w:t xml:space="preserve">d job role environment skills.  </w:t>
      </w:r>
    </w:p>
    <w:p w:rsidR="00000000" w:rsidRPr="00A22BAF" w:rsidP="00A22BAF">
      <w:pPr>
        <w:pStyle w:val="ListBullet"/>
      </w:pPr>
      <w:r w:rsidRPr="00A22BAF">
        <w:t xml:space="preserve">Foundation skills are integral to competent performance of the unit and should not be assessed separately. </w:t>
      </w:r>
    </w:p>
    <w:p w:rsidR="00000000" w:rsidRPr="00A22BAF" w:rsidP="00A22BAF">
      <w:pPr>
        <w:pStyle w:val="ListBullet"/>
      </w:pPr>
      <w:r w:rsidRPr="00A22BAF">
        <w:t xml:space="preserve">Assessment processes and techniques must be appropriate to the language, literacy and numeracy requirements of the </w:t>
      </w:r>
      <w:r w:rsidRPr="00A22BAF">
        <w:t>work being performed and the needs of the candidate.</w:t>
      </w:r>
    </w:p>
    <w:p w:rsidR="00000000" w:rsidRPr="00A22BAF" w:rsidP="00A22BAF">
      <w:pPr>
        <w:pStyle w:val="ListBullet"/>
      </w:pPr>
      <w:r w:rsidRPr="00A22BAF">
        <w:t>Knowledge evidence may be collected concurrently with performance evidence or through an independent process, such as workbooks, written assessments or interviews (provided a record is kept in each case)</w:t>
      </w:r>
      <w:r w:rsidRPr="00A22BAF">
        <w:t>.</w:t>
      </w:r>
    </w:p>
    <w:p w:rsidR="00000000" w:rsidRPr="00A22BAF" w:rsidP="00A22BAF">
      <w:pPr>
        <w:pStyle w:val="ListBullet"/>
      </w:pPr>
      <w:r w:rsidRPr="00A22BAF">
        <w:t xml:space="preserve">This unit of competency may be assessed with: </w:t>
      </w:r>
    </w:p>
    <w:p w:rsidR="00000000" w:rsidRPr="00A22BAF" w:rsidP="00A22BAF">
      <w:pPr>
        <w:pStyle w:val="ListBullet2"/>
      </w:pPr>
      <w:r w:rsidRPr="00A22BAF">
        <w:t>MSL922001 Record and present data</w:t>
      </w:r>
    </w:p>
    <w:p w:rsidR="00000000" w:rsidRPr="00A22BAF" w:rsidP="00A22BAF">
      <w:pPr>
        <w:pStyle w:val="ListBullet2"/>
      </w:pPr>
      <w:r w:rsidRPr="00A22BAF">
        <w:t>MSL943002 Participate in laboratory or field workplace safety</w:t>
      </w:r>
    </w:p>
    <w:p w:rsidR="00000000" w:rsidRPr="00A22BAF" w:rsidP="00A22BAF">
      <w:pPr>
        <w:pStyle w:val="ListBullet2"/>
      </w:pPr>
      <w:r w:rsidRPr="00A22BAF">
        <w:t>MSL953001 Receive and prepare samples for testing</w:t>
      </w:r>
    </w:p>
    <w:p w:rsidR="00000000" w:rsidRPr="00A22BAF" w:rsidP="00A22BAF">
      <w:pPr>
        <w:pStyle w:val="ListBullet"/>
      </w:pPr>
      <w:r w:rsidRPr="00A22BAF">
        <w:t xml:space="preserve">Holistic assessment methods include: </w:t>
      </w:r>
    </w:p>
    <w:p w:rsidR="00000000" w:rsidRPr="00A22BAF" w:rsidP="00A22BAF">
      <w:pPr>
        <w:pStyle w:val="ListBullet2"/>
      </w:pPr>
      <w:r w:rsidRPr="00A22BAF">
        <w:t>review of test data, results and records generated by the candidate</w:t>
      </w:r>
    </w:p>
    <w:p w:rsidR="00000000" w:rsidRPr="00A22BAF" w:rsidP="00A22BAF">
      <w:pPr>
        <w:pStyle w:val="ListBullet2"/>
      </w:pPr>
      <w:r w:rsidRPr="00A22BAF">
        <w:t>feedback from supervisors and clients regarding the candidate's ability to conduct a range of laboratory-based acceptance tests reliably, safely and efficiently</w:t>
      </w:r>
    </w:p>
    <w:p w:rsidR="00000000" w:rsidRPr="00A22BAF" w:rsidP="00A22BAF">
      <w:pPr>
        <w:pStyle w:val="ListBullet2"/>
      </w:pPr>
      <w:r w:rsidRPr="00A22BAF">
        <w:t>oral/written questions abou</w:t>
      </w:r>
      <w:r w:rsidRPr="00A22BAF">
        <w:t>t workplace procedures and test methods relevant to job role.</w:t>
      </w:r>
    </w:p>
    <w:p w:rsidR="00000000" w:rsidRPr="00A22BAF" w:rsidP="00A22BAF">
      <w:pPr>
        <w:pStyle w:val="ListBullet"/>
      </w:pPr>
      <w:r w:rsidRPr="00A22BAF">
        <w:t>Access is required to instruments, equipment, materials, workplace documentation, procedures and specifications associated with this unit, including, but not limited to:</w:t>
      </w:r>
    </w:p>
    <w:p w:rsidR="00000000" w:rsidRPr="00A22BAF" w:rsidP="00A22BAF">
      <w:pPr>
        <w:pStyle w:val="ListBullet2"/>
      </w:pPr>
      <w:r w:rsidRPr="00A22BAF">
        <w:t>sample preparation and</w:t>
      </w:r>
      <w:r w:rsidRPr="00A22BAF">
        <w:t xml:space="preserve"> test equipment and materials specified in the test method</w:t>
      </w:r>
    </w:p>
    <w:p w:rsidR="00000000" w:rsidRPr="00A22BAF" w:rsidP="00A22BAF">
      <w:pPr>
        <w:pStyle w:val="ListBullet2"/>
      </w:pPr>
      <w:r w:rsidRPr="00A22BAF">
        <w:t>test methods and description of test set-up, data sets and records</w:t>
      </w:r>
    </w:p>
    <w:p w:rsidR="00000000" w:rsidRPr="00A22BAF" w:rsidP="00A22BAF">
      <w:pPr>
        <w:pStyle w:val="ListBullet2"/>
      </w:pPr>
      <w:r w:rsidRPr="00A22BAF">
        <w:t>calculator and/or computer and relevant software or laboratory information system.</w:t>
      </w:r>
    </w:p>
    <w:p w:rsidR="00000000" w:rsidRPr="00A22BAF" w:rsidP="00A22BAF">
      <w:pPr>
        <w:pStyle w:val="ListBullet"/>
      </w:pPr>
      <w:r w:rsidRPr="00A22BAF">
        <w:t>Assessors must satisfy the assessor competency</w:t>
      </w:r>
      <w:r w:rsidRPr="00A22BAF">
        <w:t xml:space="preserve"> requirements that are in place at the time of the assessment as set by the VET regulator.  </w:t>
      </w:r>
    </w:p>
    <w:p w:rsidR="00000000" w:rsidRPr="00A22BAF" w:rsidP="00A22BAF">
      <w:pPr>
        <w:pStyle w:val="ListBullet"/>
      </w:pPr>
      <w:r w:rsidRPr="00A22BAF">
        <w:t>The assessor must demonstrate both technical competence and currency.</w:t>
      </w:r>
    </w:p>
    <w:p w:rsidR="00000000" w:rsidRPr="00A22BAF" w:rsidP="00A22BAF">
      <w:pPr>
        <w:pStyle w:val="ListBullet"/>
      </w:pPr>
      <w:r w:rsidRPr="00A22BAF">
        <w:t>Technical competence can be demonstrated through:</w:t>
      </w:r>
    </w:p>
    <w:p w:rsidR="00000000" w:rsidRPr="00A22BAF" w:rsidP="00A22BAF">
      <w:pPr>
        <w:pStyle w:val="ListBullet2"/>
      </w:pPr>
      <w:r w:rsidRPr="00A22BAF">
        <w:t>relevant VET or other qualification/Statem</w:t>
      </w:r>
      <w:r w:rsidRPr="00A22BAF">
        <w:t>ent of Attainment AND/OR</w:t>
      </w:r>
    </w:p>
    <w:p w:rsidR="00000000" w:rsidRPr="00A22BAF" w:rsidP="00A22BAF">
      <w:pPr>
        <w:pStyle w:val="ListBullet2"/>
      </w:pPr>
      <w:r w:rsidRPr="00A22BAF">
        <w:t>relevant workplace experience.</w:t>
      </w:r>
    </w:p>
    <w:p w:rsidR="00000000" w:rsidRPr="00A22BAF" w:rsidP="00A22BAF">
      <w:pPr>
        <w:pStyle w:val="ListBullet"/>
      </w:pPr>
      <w:r w:rsidRPr="00A22BAF">
        <w:t>Currency can be demonstrated through:</w:t>
      </w:r>
    </w:p>
    <w:p w:rsidR="00000000" w:rsidRPr="00A22BAF" w:rsidP="00A22BAF">
      <w:pPr>
        <w:pStyle w:val="ListBullet2"/>
      </w:pPr>
      <w:r w:rsidRPr="00A22BAF">
        <w:t>performing the competency being assessed as part of current employment OR</w:t>
      </w:r>
    </w:p>
    <w:p w:rsidR="00000000" w:rsidRPr="00A22BAF" w:rsidP="00A22BAF">
      <w:pPr>
        <w:pStyle w:val="ListBullet2"/>
      </w:pPr>
      <w:r w:rsidRPr="00A22BAF">
        <w:t>having consulted with a laboratory about performing the competency being assessed within the last twelve months.</w:t>
      </w:r>
    </w:p>
    <w:p w:rsidR="00000000" w:rsidRPr="00A22BAF" w:rsidP="00A22BAF">
      <w:pPr>
        <w:pStyle w:val="AllowPageBreak"/>
      </w:pPr>
    </w:p>
    <w:p w:rsidR="00000000" w:rsidRPr="00A22BAF" w:rsidP="00A22BAF">
      <w:pPr>
        <w:pStyle w:val="Heading1"/>
      </w:pPr>
      <w:bookmarkStart w:id="5" w:name="O_899331"/>
      <w:bookmarkEnd w:id="5"/>
      <w:r w:rsidRPr="00A22BAF">
        <w:t>Links</w:t>
      </w:r>
    </w:p>
    <w:p w:rsidR="00000000" w:rsidRPr="00A22BAF" w:rsidP="00A22BAF">
      <w:pPr>
        <w:pStyle w:val="BodyText"/>
      </w:pPr>
      <w:r w:rsidRPr="00A22BAF">
        <w:t>MSA Training Package Implementation Guides - http://mskills.org.au/training-packages/info/</w:t>
      </w:r>
    </w:p>
    <w:p w:rsidR="00000000" w:rsidRPr="00A22BAF" w:rsidP="00A22BAF"/>
    <w:sectPr w:rsidSect="00A22B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AF" w:rsidRPr="00B922D6" w:rsidP="00B92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D6" w:rsidP="00A22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2D6" w:rsidP="00A22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922D6" w:rsidP="00A22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AF" w:rsidRPr="00B922D6" w:rsidP="00B922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D6" w:rsidRPr="002D2AF8" w:rsidP="00A22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MSL973010 Conduct laboratory-based acceptance tests for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B922D6" w:rsidP="00A22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B85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9A9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9C0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BAF"/>
  </w:style>
  <w:style w:type="character" w:customStyle="1" w:styleId="Heading1Char">
    <w:name w:val="Heading 1 Char"/>
    <w:basedOn w:val="DefaultParagraphFont"/>
    <w:link w:val="Heading1"/>
    <w:rsid w:val="00A22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B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B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2B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BAF"/>
    <w:rPr>
      <w:b/>
      <w:spacing w:val="0"/>
    </w:rPr>
  </w:style>
  <w:style w:type="paragraph" w:customStyle="1" w:styleId="SuperTitle">
    <w:name w:val="SuperTitle"/>
    <w:basedOn w:val="Title"/>
    <w:rsid w:val="00A22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BAF"/>
    <w:rPr>
      <w:i/>
    </w:rPr>
  </w:style>
  <w:style w:type="paragraph" w:styleId="Caption">
    <w:name w:val="caption"/>
    <w:basedOn w:val="BodyText"/>
    <w:next w:val="Normal"/>
    <w:qFormat/>
    <w:rsid w:val="00A22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BAF"/>
  </w:style>
  <w:style w:type="paragraph" w:styleId="TableofFigures">
    <w:name w:val="table of figures"/>
    <w:basedOn w:val="Normal"/>
    <w:next w:val="Normal"/>
    <w:semiHidden/>
    <w:rsid w:val="00A22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BAF"/>
    <w:pPr>
      <w:numPr>
        <w:numId w:val="11"/>
      </w:numPr>
    </w:pPr>
  </w:style>
  <w:style w:type="character" w:customStyle="1" w:styleId="WingdingSymbols">
    <w:name w:val="Wingding Symbols"/>
    <w:rsid w:val="00A22BAF"/>
    <w:rPr>
      <w:rFonts w:ascii="Wingdings" w:hAnsi="Wingdings"/>
    </w:rPr>
  </w:style>
  <w:style w:type="paragraph" w:customStyle="1" w:styleId="TableHeading">
    <w:name w:val="Table Heading"/>
    <w:basedOn w:val="HeadingBase"/>
    <w:rsid w:val="00A22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BAF"/>
    <w:rPr>
      <w:color w:val="0033CC"/>
      <w:u w:val="none"/>
    </w:rPr>
  </w:style>
  <w:style w:type="paragraph" w:customStyle="1" w:styleId="BodyTextRight">
    <w:name w:val="Body Text Right"/>
    <w:basedOn w:val="BodyText"/>
    <w:rsid w:val="00A22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BAF"/>
    <w:rPr>
      <w:sz w:val="32"/>
    </w:rPr>
  </w:style>
  <w:style w:type="paragraph" w:customStyle="1" w:styleId="HeadingProcedure">
    <w:name w:val="Heading Procedure"/>
    <w:basedOn w:val="HeadingBase"/>
    <w:next w:val="Normal"/>
    <w:rsid w:val="00A22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BAF"/>
    <w:pPr>
      <w:spacing w:before="60" w:after="60"/>
    </w:pPr>
  </w:style>
  <w:style w:type="paragraph" w:styleId="ListContinue">
    <w:name w:val="List Continue"/>
    <w:basedOn w:val="List"/>
    <w:rsid w:val="00A22BAF"/>
    <w:pPr>
      <w:ind w:firstLine="0"/>
    </w:pPr>
  </w:style>
  <w:style w:type="paragraph" w:customStyle="1" w:styleId="ListNote">
    <w:name w:val="List Note"/>
    <w:basedOn w:val="List"/>
    <w:rsid w:val="00A22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BAF"/>
    <w:rPr>
      <w:rFonts w:ascii="Courier New" w:hAnsi="Courier New"/>
    </w:rPr>
  </w:style>
  <w:style w:type="paragraph" w:customStyle="1" w:styleId="NoteBullet">
    <w:name w:val="Note Bullet"/>
    <w:basedOn w:val="Note"/>
    <w:rsid w:val="00A22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B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2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BAF"/>
    <w:rPr>
      <w:b/>
      <w:smallCaps/>
    </w:rPr>
  </w:style>
  <w:style w:type="paragraph" w:customStyle="1" w:styleId="TableListNumber">
    <w:name w:val="Table List Number"/>
    <w:basedOn w:val="ListNumber"/>
    <w:rsid w:val="00A22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BAF"/>
    <w:pPr>
      <w:numPr>
        <w:numId w:val="9"/>
      </w:numPr>
    </w:pPr>
  </w:style>
  <w:style w:type="paragraph" w:customStyle="1" w:styleId="ListAlpha2">
    <w:name w:val="List Alpha 2"/>
    <w:basedOn w:val="List2"/>
    <w:rsid w:val="00A22BAF"/>
    <w:pPr>
      <w:numPr>
        <w:numId w:val="8"/>
      </w:numPr>
    </w:pPr>
  </w:style>
  <w:style w:type="paragraph" w:styleId="List2">
    <w:name w:val="List 2"/>
    <w:basedOn w:val="BodyText"/>
    <w:rsid w:val="00A22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B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BAF"/>
    <w:pPr>
      <w:numPr>
        <w:numId w:val="4"/>
      </w:numPr>
    </w:pPr>
  </w:style>
  <w:style w:type="paragraph" w:styleId="ListContinue2">
    <w:name w:val="List Continue 2"/>
    <w:basedOn w:val="List2"/>
    <w:rsid w:val="00A22BAF"/>
    <w:pPr>
      <w:ind w:firstLine="0"/>
    </w:pPr>
  </w:style>
  <w:style w:type="paragraph" w:styleId="ListContinue3">
    <w:name w:val="List Continue 3"/>
    <w:basedOn w:val="List3"/>
    <w:rsid w:val="00A22BAF"/>
    <w:pPr>
      <w:ind w:left="1021" w:firstLine="0"/>
    </w:pPr>
  </w:style>
  <w:style w:type="paragraph" w:styleId="ListContinue4">
    <w:name w:val="List Continue 4"/>
    <w:basedOn w:val="List4"/>
    <w:rsid w:val="00A22BAF"/>
    <w:pPr>
      <w:ind w:firstLine="0"/>
    </w:pPr>
  </w:style>
  <w:style w:type="paragraph" w:styleId="ListContinue5">
    <w:name w:val="List Continue 5"/>
    <w:basedOn w:val="List5"/>
    <w:rsid w:val="00A22BAF"/>
    <w:pPr>
      <w:ind w:firstLine="0"/>
    </w:pPr>
  </w:style>
  <w:style w:type="paragraph" w:styleId="ListNumber3">
    <w:name w:val="List Number 3"/>
    <w:basedOn w:val="List3"/>
    <w:rsid w:val="00A22BAF"/>
    <w:pPr>
      <w:numPr>
        <w:numId w:val="5"/>
      </w:numPr>
    </w:pPr>
  </w:style>
  <w:style w:type="paragraph" w:styleId="ListNumber4">
    <w:name w:val="List Number 4"/>
    <w:basedOn w:val="List4"/>
    <w:rsid w:val="00A22BAF"/>
    <w:pPr>
      <w:numPr>
        <w:numId w:val="6"/>
      </w:numPr>
    </w:pPr>
  </w:style>
  <w:style w:type="paragraph" w:styleId="ListNumber5">
    <w:name w:val="List Number 5"/>
    <w:basedOn w:val="List5"/>
    <w:rsid w:val="00A22BAF"/>
    <w:pPr>
      <w:numPr>
        <w:numId w:val="7"/>
      </w:numPr>
    </w:pPr>
  </w:style>
  <w:style w:type="paragraph" w:styleId="BlockText">
    <w:name w:val="Block Text"/>
    <w:basedOn w:val="Normal"/>
    <w:rsid w:val="00A22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BAF"/>
    <w:rPr>
      <w:sz w:val="16"/>
      <w:vertAlign w:val="superscript"/>
    </w:rPr>
  </w:style>
  <w:style w:type="character" w:customStyle="1" w:styleId="Symbols">
    <w:name w:val="Symbols"/>
    <w:basedOn w:val="DefaultParagraphFont"/>
    <w:rsid w:val="00A22BAF"/>
    <w:rPr>
      <w:rFonts w:ascii="Symbol" w:hAnsi="Symbol"/>
    </w:rPr>
  </w:style>
  <w:style w:type="character" w:customStyle="1" w:styleId="MenuOptions">
    <w:name w:val="Menu Options"/>
    <w:basedOn w:val="DefaultParagraphFont"/>
    <w:rsid w:val="00A22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BAF"/>
    <w:rPr>
      <w:b/>
    </w:rPr>
  </w:style>
  <w:style w:type="character" w:customStyle="1" w:styleId="Underlined">
    <w:name w:val="Underlined"/>
    <w:basedOn w:val="DefaultParagraphFont"/>
    <w:rsid w:val="00A22BAF"/>
    <w:rPr>
      <w:u w:val="single"/>
    </w:rPr>
  </w:style>
  <w:style w:type="paragraph" w:customStyle="1" w:styleId="TableBodyTextRight">
    <w:name w:val="Table Body Text Right"/>
    <w:basedOn w:val="TableBodyText"/>
    <w:rsid w:val="00A22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BAF"/>
    <w:rPr>
      <w:sz w:val="18"/>
    </w:rPr>
  </w:style>
  <w:style w:type="paragraph" w:customStyle="1" w:styleId="BodySmallRight">
    <w:name w:val="Body Small Right"/>
    <w:basedOn w:val="BodyTextRight"/>
    <w:rsid w:val="00A22BAF"/>
    <w:rPr>
      <w:sz w:val="18"/>
      <w:szCs w:val="18"/>
    </w:rPr>
  </w:style>
  <w:style w:type="paragraph" w:customStyle="1" w:styleId="MarginEdition">
    <w:name w:val="Margin Edition"/>
    <w:basedOn w:val="MarginNote"/>
    <w:rsid w:val="00A22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BAF"/>
    <w:rPr>
      <w:sz w:val="2"/>
      <w:szCs w:val="2"/>
    </w:rPr>
  </w:style>
  <w:style w:type="character" w:customStyle="1" w:styleId="Small">
    <w:name w:val="Small"/>
    <w:basedOn w:val="DefaultParagraphFont"/>
    <w:rsid w:val="00A22BAF"/>
    <w:rPr>
      <w:sz w:val="16"/>
    </w:rPr>
  </w:style>
  <w:style w:type="paragraph" w:customStyle="1" w:styleId="WideTable">
    <w:name w:val="Wide Table"/>
    <w:basedOn w:val="Normal"/>
    <w:rsid w:val="00A22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BAF"/>
  </w:style>
  <w:style w:type="paragraph" w:styleId="Quote">
    <w:name w:val="Quote"/>
    <w:basedOn w:val="Heading1"/>
    <w:link w:val="QuoteChar"/>
    <w:qFormat/>
    <w:rsid w:val="00A22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BAF"/>
    <w:pPr>
      <w:pageBreakBefore/>
    </w:pPr>
  </w:style>
  <w:style w:type="paragraph" w:customStyle="1" w:styleId="Border">
    <w:name w:val="Border"/>
    <w:basedOn w:val="Normal"/>
    <w:qFormat/>
    <w:rsid w:val="00A22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BAF"/>
    <w:rPr>
      <w:u w:val="single"/>
    </w:rPr>
  </w:style>
  <w:style w:type="character" w:customStyle="1" w:styleId="BoldandItalics">
    <w:name w:val="Bold and Italics"/>
    <w:qFormat/>
    <w:rsid w:val="00A22BAF"/>
    <w:rPr>
      <w:b/>
      <w:i/>
      <w:u w:val="none"/>
    </w:rPr>
  </w:style>
  <w:style w:type="paragraph" w:styleId="BalloonText">
    <w:name w:val="Balloon Text"/>
    <w:basedOn w:val="Normal"/>
    <w:link w:val="BalloonTextChar"/>
    <w:rsid w:val="00A22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B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B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4437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MSL973010 Conduct laboratory-based acceptance tests for construction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2016-03-01T06:31:00Z</dcterms:created>
  <dcterms:modified xsi:type="dcterms:W3CDTF">2016-03-01T06:31:00Z</dcterms:modified>
</cp:coreProperties>
</file>