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2581" w:rsidP="00C925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MSL973007 Perform microscopic examination</w:t>
      </w:r>
      <w:r>
        <w:fldChar w:fldCharType="end"/>
      </w:r>
    </w:p>
    <w:p w:rsidR="00C92581" w:rsidP="00C92581">
      <w:pPr>
        <w:pStyle w:val="Version"/>
        <w:sectPr w:rsidSect="001969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69B9" w:rsidP="001969B9">
      <w:pPr>
        <w:pStyle w:val="SuperHeading"/>
      </w:pPr>
      <w:r w:rsidRPr="001969B9">
        <w:t>Assessment Requirements for MSL973007 Perform microscopic examination</w:t>
      </w:r>
    </w:p>
    <w:p w:rsidR="00000000" w:rsidRPr="001969B9" w:rsidP="001969B9">
      <w:pPr>
        <w:pStyle w:val="Heading1"/>
      </w:pPr>
      <w:bookmarkStart w:id="1" w:name="O_890525"/>
      <w:bookmarkEnd w:id="1"/>
      <w:r w:rsidRPr="001969B9">
        <w:t>Modification History</w:t>
      </w:r>
    </w:p>
    <w:p w:rsidR="00000000" w:rsidRPr="001969B9" w:rsidP="00C92581">
      <w:pPr>
        <w:pStyle w:val="BodyText"/>
      </w:pPr>
      <w:r w:rsidRPr="001969B9">
        <w:t>Release 1. Supersedes and is equivalent to MSL973007A Perform microscopic examination</w:t>
      </w:r>
    </w:p>
    <w:p w:rsidR="00000000" w:rsidRPr="001969B9" w:rsidP="001969B9">
      <w:pPr>
        <w:pStyle w:val="Heading1"/>
      </w:pPr>
      <w:bookmarkStart w:id="2" w:name="O_890528"/>
      <w:bookmarkEnd w:id="2"/>
      <w:r w:rsidRPr="001969B9">
        <w:t>Performance Evidence</w:t>
      </w:r>
    </w:p>
    <w:p w:rsidR="00000000" w:rsidRPr="001969B9" w:rsidP="00C92581">
      <w:pPr>
        <w:pStyle w:val="BodyText"/>
      </w:pPr>
      <w:r w:rsidRPr="001969B9">
        <w:t>Evidence of competence in this unit must satisfy all of the requirements of the elements and performance criteria, and include demonstration of:</w:t>
      </w:r>
    </w:p>
    <w:p w:rsidR="00000000" w:rsidRPr="001969B9" w:rsidP="001969B9">
      <w:pPr>
        <w:pStyle w:val="ListBullet"/>
      </w:pPr>
      <w:r w:rsidRPr="001969B9">
        <w:t>safely performing microscopic examination of at least three (3) different samples and correctly identifying an</w:t>
      </w:r>
      <w:r w:rsidRPr="001969B9">
        <w:t>d reporting the characteristics of each</w:t>
      </w:r>
    </w:p>
    <w:p w:rsidR="00000000" w:rsidRPr="001969B9" w:rsidP="001969B9">
      <w:pPr>
        <w:pStyle w:val="ListBullet"/>
      </w:pPr>
      <w:r w:rsidRPr="001969B9">
        <w:t>checking suitability of samples, such as labelling, spillage, spoilage due to incorrect storage and transport conditions, temperature control and suitability for the examination</w:t>
      </w:r>
    </w:p>
    <w:p w:rsidR="00000000" w:rsidRPr="001969B9" w:rsidP="001969B9">
      <w:pPr>
        <w:pStyle w:val="ListBullet"/>
      </w:pPr>
      <w:r w:rsidRPr="001969B9">
        <w:t>safely preparing routine biological an</w:t>
      </w:r>
      <w:r w:rsidRPr="001969B9">
        <w:t>d/or physical samples in accordance with workplace procedures or standard methods</w:t>
      </w:r>
    </w:p>
    <w:p w:rsidR="00000000" w:rsidRPr="001969B9" w:rsidP="001969B9">
      <w:pPr>
        <w:pStyle w:val="ListBullet"/>
      </w:pPr>
      <w:r w:rsidRPr="001969B9">
        <w:t>checking the quality of prepared samples, such as:</w:t>
      </w:r>
    </w:p>
    <w:p w:rsidR="00000000" w:rsidRPr="001969B9" w:rsidP="001969B9">
      <w:pPr>
        <w:pStyle w:val="ListBullet2"/>
      </w:pPr>
      <w:r w:rsidRPr="001969B9">
        <w:t>clean and scratch-free microscope slides to reduce artefacts</w:t>
      </w:r>
    </w:p>
    <w:p w:rsidR="00000000" w:rsidRPr="001969B9" w:rsidP="001969B9">
      <w:pPr>
        <w:pStyle w:val="ListBullet2"/>
      </w:pPr>
      <w:r w:rsidRPr="001969B9">
        <w:t>preparation according to specified procedure/method</w:t>
      </w:r>
    </w:p>
    <w:p w:rsidR="00000000" w:rsidRPr="001969B9" w:rsidP="001969B9">
      <w:pPr>
        <w:pStyle w:val="ListBullet2"/>
      </w:pPr>
      <w:r w:rsidRPr="001969B9">
        <w:t>homogeneo</w:t>
      </w:r>
      <w:r w:rsidRPr="001969B9">
        <w:t>us suspension of sample</w:t>
      </w:r>
    </w:p>
    <w:p w:rsidR="00000000" w:rsidRPr="001969B9" w:rsidP="001969B9">
      <w:pPr>
        <w:pStyle w:val="ListBullet2"/>
      </w:pPr>
      <w:r w:rsidRPr="001969B9">
        <w:t>films and smears that have been fixed rapidly</w:t>
      </w:r>
    </w:p>
    <w:p w:rsidR="00000000" w:rsidRPr="001969B9" w:rsidP="001969B9">
      <w:pPr>
        <w:pStyle w:val="ListBullet2"/>
      </w:pPr>
      <w:r w:rsidRPr="001969B9">
        <w:t>thin films with a monolayer of cells</w:t>
      </w:r>
    </w:p>
    <w:p w:rsidR="00000000" w:rsidRPr="001969B9" w:rsidP="001969B9">
      <w:pPr>
        <w:pStyle w:val="ListBullet2"/>
      </w:pPr>
      <w:r w:rsidRPr="001969B9">
        <w:t>appropriate whole mounts for intact organisms</w:t>
      </w:r>
    </w:p>
    <w:p w:rsidR="00000000" w:rsidRPr="001969B9" w:rsidP="001969B9">
      <w:pPr>
        <w:pStyle w:val="ListBullet2"/>
      </w:pPr>
      <w:r w:rsidRPr="001969B9">
        <w:t>correct sample identification during and after processing</w:t>
      </w:r>
    </w:p>
    <w:p w:rsidR="00000000" w:rsidRPr="001969B9" w:rsidP="001969B9">
      <w:pPr>
        <w:pStyle w:val="ListBullet"/>
      </w:pPr>
      <w:r w:rsidRPr="001969B9">
        <w:t>performing pre-use checks of equipment, such as calibration, routine cleaning and maintenance, and use by dates of reagents</w:t>
      </w:r>
    </w:p>
    <w:p w:rsidR="00000000" w:rsidRPr="001969B9" w:rsidP="001969B9">
      <w:pPr>
        <w:pStyle w:val="ListBullet"/>
      </w:pPr>
      <w:r w:rsidRPr="001969B9">
        <w:t>setting up a light microscope for optimal resolution</w:t>
      </w:r>
    </w:p>
    <w:p w:rsidR="00000000" w:rsidRPr="001969B9" w:rsidP="001969B9">
      <w:pPr>
        <w:pStyle w:val="ListBullet"/>
      </w:pPr>
      <w:r w:rsidRPr="001969B9">
        <w:t>accurately observing, identifying and reporting sample characteristics</w:t>
      </w:r>
    </w:p>
    <w:p w:rsidR="00000000" w:rsidRPr="001969B9" w:rsidP="001969B9">
      <w:pPr>
        <w:pStyle w:val="ListBullet"/>
      </w:pPr>
      <w:r w:rsidRPr="001969B9">
        <w:t>performi</w:t>
      </w:r>
      <w:r w:rsidRPr="001969B9">
        <w:t>ng counts on samples and basic measurements using grids</w:t>
      </w:r>
    </w:p>
    <w:p w:rsidR="00000000" w:rsidRPr="001969B9" w:rsidP="001969B9">
      <w:pPr>
        <w:pStyle w:val="ListBullet"/>
      </w:pPr>
      <w:r w:rsidRPr="001969B9">
        <w:t>performing accurate calculations as required by the method, such as:</w:t>
      </w:r>
    </w:p>
    <w:p w:rsidR="00000000" w:rsidRPr="001969B9" w:rsidP="001969B9">
      <w:pPr>
        <w:pStyle w:val="ListBullet2"/>
      </w:pPr>
      <w:r w:rsidRPr="001969B9">
        <w:t>dilutions</w:t>
      </w:r>
    </w:p>
    <w:p w:rsidR="00000000" w:rsidRPr="001969B9" w:rsidP="001969B9">
      <w:pPr>
        <w:pStyle w:val="ListBullet2"/>
      </w:pPr>
      <w:r w:rsidRPr="001969B9">
        <w:t>percentage viability</w:t>
      </w:r>
    </w:p>
    <w:p w:rsidR="00000000" w:rsidRPr="001969B9" w:rsidP="001969B9">
      <w:pPr>
        <w:pStyle w:val="ListBullet2"/>
      </w:pPr>
      <w:r w:rsidRPr="001969B9">
        <w:t>number of cells in original sample after dilution</w:t>
      </w:r>
    </w:p>
    <w:p w:rsidR="00000000" w:rsidRPr="001969B9" w:rsidP="001969B9">
      <w:pPr>
        <w:pStyle w:val="ListBullet2"/>
      </w:pPr>
      <w:r w:rsidRPr="001969B9">
        <w:t>calculation of cells/ml in a number of squares of</w:t>
      </w:r>
      <w:r w:rsidRPr="001969B9">
        <w:t xml:space="preserve"> a counting chamber</w:t>
      </w:r>
    </w:p>
    <w:p w:rsidR="00000000" w:rsidRPr="001969B9" w:rsidP="001969B9">
      <w:pPr>
        <w:pStyle w:val="ListBullet"/>
      </w:pPr>
      <w:r w:rsidRPr="001969B9">
        <w:t>interpreting and recording test results reliably</w:t>
      </w:r>
    </w:p>
    <w:p w:rsidR="00000000" w:rsidRPr="001969B9" w:rsidP="001969B9">
      <w:pPr>
        <w:pStyle w:val="ListBullet"/>
      </w:pPr>
      <w:r w:rsidRPr="001969B9">
        <w:t>logging and tracking samples through all steps from sample receipt to completion of the examination and reporting</w:t>
      </w:r>
    </w:p>
    <w:p w:rsidR="00000000" w:rsidRPr="001969B9" w:rsidP="001969B9">
      <w:pPr>
        <w:pStyle w:val="ListBullet"/>
      </w:pPr>
      <w:r w:rsidRPr="001969B9">
        <w:t>minimising cross-contamination and contamination of the laboratory and e</w:t>
      </w:r>
      <w:r w:rsidRPr="001969B9">
        <w:t>nvironment</w:t>
      </w:r>
    </w:p>
    <w:p w:rsidR="00000000" w:rsidRPr="001969B9" w:rsidP="001969B9">
      <w:pPr>
        <w:pStyle w:val="ListBullet"/>
      </w:pPr>
      <w:r w:rsidRPr="001969B9">
        <w:t>using personal protective equipment (PPE) and safety procedures to maintain personal safety and that of others</w:t>
      </w:r>
    </w:p>
    <w:p w:rsidR="00000000" w:rsidRPr="001969B9" w:rsidP="001969B9">
      <w:pPr>
        <w:pStyle w:val="ListBullet"/>
      </w:pPr>
      <w:r w:rsidRPr="001969B9">
        <w:t>handling/storing samples and equipment and collecting/disposing of waste in accordance with workplace procedures.</w:t>
      </w:r>
    </w:p>
    <w:p w:rsidR="00000000" w:rsidRPr="001969B9" w:rsidP="001969B9">
      <w:pPr>
        <w:pStyle w:val="AllowPageBreak"/>
      </w:pPr>
    </w:p>
    <w:p w:rsidR="00000000" w:rsidRPr="001969B9" w:rsidP="001969B9">
      <w:pPr>
        <w:pStyle w:val="Heading1"/>
      </w:pPr>
      <w:bookmarkStart w:id="3" w:name="O_890527"/>
      <w:bookmarkEnd w:id="3"/>
      <w:r w:rsidRPr="001969B9">
        <w:t>Knowledge Evidence</w:t>
      </w:r>
    </w:p>
    <w:p w:rsidR="00000000" w:rsidRPr="001969B9" w:rsidP="00C92581">
      <w:pPr>
        <w:pStyle w:val="BodyText"/>
      </w:pPr>
      <w:r w:rsidRPr="001969B9">
        <w:t>Must provide evidence that demonstrates knowledge of:</w:t>
      </w:r>
    </w:p>
    <w:p w:rsidR="00000000" w:rsidRPr="001969B9" w:rsidP="001969B9">
      <w:pPr>
        <w:pStyle w:val="ListBullet"/>
      </w:pPr>
      <w:r w:rsidRPr="001969B9">
        <w:t>nature of samples, sample preparation methods, methods of examination and associated hazards</w:t>
      </w:r>
    </w:p>
    <w:p w:rsidR="00000000" w:rsidRPr="001969B9" w:rsidP="001969B9">
      <w:pPr>
        <w:pStyle w:val="ListBullet"/>
      </w:pPr>
      <w:r w:rsidRPr="001969B9">
        <w:t>parts and functions of a light microscope and steps taken to optimise the resolution of i</w:t>
      </w:r>
      <w:r w:rsidRPr="001969B9">
        <w:t>mages</w:t>
      </w:r>
    </w:p>
    <w:p w:rsidR="00000000" w:rsidRPr="001969B9" w:rsidP="001969B9">
      <w:pPr>
        <w:pStyle w:val="ListBullet"/>
      </w:pPr>
      <w:r w:rsidRPr="001969B9">
        <w:t>importance and appropriate use of controls and certified reference materials</w:t>
      </w:r>
    </w:p>
    <w:p w:rsidR="00000000" w:rsidRPr="001969B9" w:rsidP="001969B9">
      <w:pPr>
        <w:pStyle w:val="ListBullet"/>
      </w:pPr>
      <w:r w:rsidRPr="001969B9">
        <w:t>workplace and/or legal traceability requirements</w:t>
      </w:r>
    </w:p>
    <w:p w:rsidR="00000000" w:rsidRPr="001969B9" w:rsidP="001969B9">
      <w:pPr>
        <w:pStyle w:val="ListBullet"/>
      </w:pPr>
      <w:r w:rsidRPr="001969B9">
        <w:t>relevant work health and safety (WHS) and environment requirements.</w:t>
      </w:r>
    </w:p>
    <w:p w:rsidR="00000000" w:rsidRPr="001969B9" w:rsidP="001969B9">
      <w:pPr>
        <w:pStyle w:val="AllowPageBreak"/>
      </w:pPr>
    </w:p>
    <w:p w:rsidR="00000000" w:rsidRPr="001969B9" w:rsidP="001969B9">
      <w:pPr>
        <w:pStyle w:val="Heading1"/>
      </w:pPr>
      <w:bookmarkStart w:id="4" w:name="O_890526"/>
      <w:bookmarkEnd w:id="4"/>
      <w:r w:rsidRPr="001969B9">
        <w:t>Assessment Conditions</w:t>
      </w:r>
    </w:p>
    <w:p w:rsidR="00000000" w:rsidRPr="001969B9" w:rsidP="001969B9">
      <w:pPr>
        <w:pStyle w:val="ListBullet"/>
      </w:pPr>
      <w:r w:rsidRPr="001969B9">
        <w:t>Judgement of com</w:t>
      </w:r>
      <w:r w:rsidRPr="001969B9">
        <w:t xml:space="preserve">petence must be based on holistic assessment of the evidence. Assessment methods must confirm consistency of performance over time, rather than a single assessment event. </w:t>
      </w:r>
    </w:p>
    <w:p w:rsidR="00000000" w:rsidRPr="001969B9" w:rsidP="001969B9">
      <w:pPr>
        <w:pStyle w:val="ListBullet"/>
      </w:pPr>
      <w:r w:rsidRPr="001969B9">
        <w:t xml:space="preserve">This unit of competency is to be assessed in the workplace or a simulated workplace </w:t>
      </w:r>
      <w:r w:rsidRPr="001969B9">
        <w:t>environment. A simulated workplace environment must reflect realistic operational workplace conditions that cover all aspects of workplace performance, including the environment, task skills, task management skills, contingency management skills and job ro</w:t>
      </w:r>
      <w:r w:rsidRPr="001969B9">
        <w:t xml:space="preserve">le environment skills.  </w:t>
      </w:r>
    </w:p>
    <w:p w:rsidR="00000000" w:rsidRPr="001969B9" w:rsidP="001969B9">
      <w:pPr>
        <w:pStyle w:val="ListBullet"/>
      </w:pPr>
      <w:r w:rsidRPr="001969B9">
        <w:t xml:space="preserve">Foundation skills are integral to competent performance of the unit and should not be assessed separately. </w:t>
      </w:r>
    </w:p>
    <w:p w:rsidR="00000000" w:rsidRPr="001969B9" w:rsidP="001969B9">
      <w:pPr>
        <w:pStyle w:val="ListBullet"/>
      </w:pPr>
      <w:r w:rsidRPr="001969B9">
        <w:t>Assessment processes and techniques must be appropriate to the language, literacy and numeracy requirements of the work bei</w:t>
      </w:r>
      <w:r w:rsidRPr="001969B9">
        <w:t>ng performed and the needs of the candidate.</w:t>
      </w:r>
    </w:p>
    <w:p w:rsidR="00000000" w:rsidRPr="001969B9" w:rsidP="001969B9">
      <w:pPr>
        <w:pStyle w:val="ListBullet"/>
      </w:pPr>
      <w:r w:rsidRPr="001969B9">
        <w:t>Knowledge evidence may be collected concurrently with performance evidence or through an independent process, such as workbooks, written assessments or interviews (provided a record is kept in each case).</w:t>
      </w:r>
    </w:p>
    <w:p w:rsidR="00000000" w:rsidRPr="001969B9" w:rsidP="001969B9">
      <w:pPr>
        <w:pStyle w:val="ListBullet"/>
      </w:pPr>
      <w:r w:rsidRPr="001969B9">
        <w:t>This u</w:t>
      </w:r>
      <w:r w:rsidRPr="001969B9">
        <w:t xml:space="preserve">nit of competency may be assessed with: </w:t>
      </w:r>
    </w:p>
    <w:p w:rsidR="00000000" w:rsidRPr="001969B9" w:rsidP="001969B9">
      <w:pPr>
        <w:pStyle w:val="ListBullet2"/>
      </w:pPr>
      <w:r w:rsidRPr="001969B9">
        <w:t xml:space="preserve">MSL922001 Record and present data </w:t>
      </w:r>
    </w:p>
    <w:p w:rsidR="00000000" w:rsidRPr="001969B9" w:rsidP="001969B9">
      <w:pPr>
        <w:pStyle w:val="ListBullet2"/>
      </w:pPr>
      <w:r w:rsidRPr="001969B9">
        <w:t>MSL933002 Contribute to the achievement of quality objectives</w:t>
      </w:r>
    </w:p>
    <w:p w:rsidR="00000000" w:rsidRPr="001969B9" w:rsidP="001969B9">
      <w:pPr>
        <w:pStyle w:val="ListBullet2"/>
      </w:pPr>
      <w:r w:rsidRPr="001969B9">
        <w:t>MSL943002 Participate in laboratory or field workplace safety</w:t>
      </w:r>
    </w:p>
    <w:p w:rsidR="00000000" w:rsidRPr="001969B9" w:rsidP="001969B9">
      <w:pPr>
        <w:pStyle w:val="ListBullet2"/>
      </w:pPr>
      <w:r w:rsidRPr="001969B9">
        <w:t>MSL953001 Receive and prepare samples for testing</w:t>
      </w:r>
    </w:p>
    <w:p w:rsidR="00000000" w:rsidRPr="001969B9" w:rsidP="001969B9">
      <w:pPr>
        <w:pStyle w:val="ListBullet"/>
      </w:pPr>
      <w:r w:rsidRPr="001969B9">
        <w:t xml:space="preserve">Holistic assessment methods include: </w:t>
      </w:r>
    </w:p>
    <w:p w:rsidR="00000000" w:rsidRPr="001969B9" w:rsidP="001969B9">
      <w:pPr>
        <w:pStyle w:val="ListBullet2"/>
      </w:pPr>
      <w:r w:rsidRPr="001969B9">
        <w:t>review of data records prepared by the candidate, such as counts, observations and results</w:t>
      </w:r>
    </w:p>
    <w:p w:rsidR="00000000" w:rsidRPr="001969B9" w:rsidP="001969B9">
      <w:pPr>
        <w:pStyle w:val="ListBullet2"/>
      </w:pPr>
      <w:r w:rsidRPr="001969B9">
        <w:t>feedback from supervisors and peers about adherence to workplace procedures and sample preparation/examination methods</w:t>
      </w:r>
    </w:p>
    <w:p w:rsidR="00000000" w:rsidRPr="001969B9" w:rsidP="001969B9">
      <w:pPr>
        <w:pStyle w:val="ListBullet2"/>
      </w:pPr>
      <w:r w:rsidRPr="001969B9">
        <w:t>observa</w:t>
      </w:r>
      <w:r w:rsidRPr="001969B9">
        <w:t>tion of the candidate performing microscopic examinations</w:t>
      </w:r>
    </w:p>
    <w:p w:rsidR="00000000" w:rsidRPr="001969B9" w:rsidP="001969B9">
      <w:pPr>
        <w:pStyle w:val="ListBullet2"/>
      </w:pPr>
      <w:r w:rsidRPr="001969B9">
        <w:t>oral/written questions about workplace procedures covering safe preparation and examination of samples.</w:t>
      </w:r>
    </w:p>
    <w:p w:rsidR="00000000" w:rsidRPr="001969B9" w:rsidP="001969B9">
      <w:pPr>
        <w:pStyle w:val="ListBullet"/>
      </w:pPr>
      <w:r w:rsidRPr="001969B9">
        <w:t xml:space="preserve">Access is required to instruments, equipment, materials, workplace documentation, procedures </w:t>
      </w:r>
      <w:r w:rsidRPr="001969B9">
        <w:t>and specifications associated with this unit, including, but not limited to:</w:t>
      </w:r>
    </w:p>
    <w:p w:rsidR="00000000" w:rsidRPr="001969B9" w:rsidP="001969B9">
      <w:pPr>
        <w:pStyle w:val="ListBullet2"/>
      </w:pPr>
      <w:r w:rsidRPr="001969B9">
        <w:t xml:space="preserve">a standard laboratory equipped with appropriate equipment, including light microscopes and samples </w:t>
      </w:r>
    </w:p>
    <w:p w:rsidR="00000000" w:rsidRPr="001969B9" w:rsidP="001969B9">
      <w:pPr>
        <w:pStyle w:val="ListBullet2"/>
      </w:pPr>
      <w:r w:rsidRPr="001969B9">
        <w:t>workplace procedures, standard methods and materials</w:t>
      </w:r>
    </w:p>
    <w:p w:rsidR="00000000" w:rsidRPr="001969B9" w:rsidP="001969B9">
      <w:pPr>
        <w:pStyle w:val="ListBullet2"/>
      </w:pPr>
      <w:r w:rsidRPr="001969B9">
        <w:t xml:space="preserve">equipment, such as glass </w:t>
      </w:r>
      <w:r w:rsidRPr="001969B9">
        <w:t>slides, counting chambers (e.g. haemocytometer), optical graticules and stage micrometers, and tissue culture flasks</w:t>
      </w:r>
    </w:p>
    <w:p w:rsidR="00000000" w:rsidRPr="001969B9" w:rsidP="001969B9">
      <w:pPr>
        <w:pStyle w:val="ListBullet2"/>
      </w:pPr>
      <w:r w:rsidRPr="001969B9">
        <w:t>a light microscope, such as:</w:t>
      </w:r>
    </w:p>
    <w:p w:rsidR="00000000" w:rsidRPr="001969B9" w:rsidP="001969B9">
      <w:pPr>
        <w:pStyle w:val="ListBullet3"/>
      </w:pPr>
      <w:r w:rsidRPr="001969B9">
        <w:t>bright field illumination microscope up to 1000 x magnification</w:t>
      </w:r>
    </w:p>
    <w:p w:rsidR="00000000" w:rsidRPr="001969B9" w:rsidP="001969B9">
      <w:pPr>
        <w:pStyle w:val="ListBullet3"/>
      </w:pPr>
      <w:r w:rsidRPr="001969B9">
        <w:t>stereomicroscopes and dissection microscopes</w:t>
      </w:r>
    </w:p>
    <w:p w:rsidR="00000000" w:rsidRPr="001969B9" w:rsidP="001969B9">
      <w:pPr>
        <w:pStyle w:val="ListBullet3"/>
      </w:pPr>
      <w:r w:rsidRPr="001969B9">
        <w:t>compound microscope</w:t>
      </w:r>
    </w:p>
    <w:p w:rsidR="00000000" w:rsidRPr="001969B9" w:rsidP="001969B9">
      <w:pPr>
        <w:pStyle w:val="ListBullet3"/>
      </w:pPr>
      <w:r w:rsidRPr="001969B9">
        <w:t>phase contrast microscope</w:t>
      </w:r>
    </w:p>
    <w:p w:rsidR="00000000" w:rsidRPr="001969B9" w:rsidP="001969B9">
      <w:pPr>
        <w:pStyle w:val="ListBullet3"/>
      </w:pPr>
      <w:r w:rsidRPr="001969B9">
        <w:t>inverted microscope.</w:t>
      </w:r>
    </w:p>
    <w:p w:rsidR="00000000" w:rsidRPr="001969B9" w:rsidP="001969B9">
      <w:pPr>
        <w:pStyle w:val="ListBullet"/>
      </w:pPr>
      <w:r w:rsidRPr="001969B9">
        <w:t xml:space="preserve">Assessors must satisfy the assessor competency requirements that are in place at the time of the assessment as set by the VET regulator.  </w:t>
      </w:r>
    </w:p>
    <w:p w:rsidR="00000000" w:rsidRPr="001969B9" w:rsidP="001969B9">
      <w:pPr>
        <w:pStyle w:val="ListBullet"/>
      </w:pPr>
      <w:r w:rsidRPr="001969B9">
        <w:t>The assessor must demonstrate both technical comp</w:t>
      </w:r>
      <w:r w:rsidRPr="001969B9">
        <w:t>etence and currency.</w:t>
      </w:r>
    </w:p>
    <w:p w:rsidR="00000000" w:rsidRPr="001969B9" w:rsidP="001969B9">
      <w:pPr>
        <w:pStyle w:val="ListBullet"/>
      </w:pPr>
      <w:r w:rsidRPr="001969B9">
        <w:t>Technical competence can be demonstrated through:</w:t>
      </w:r>
    </w:p>
    <w:p w:rsidR="00000000" w:rsidRPr="001969B9" w:rsidP="001969B9">
      <w:pPr>
        <w:pStyle w:val="ListBullet2"/>
      </w:pPr>
      <w:r w:rsidRPr="001969B9">
        <w:t>relevant VET or other qualification/Statement of Attainment AND/OR</w:t>
      </w:r>
    </w:p>
    <w:p w:rsidR="00000000" w:rsidRPr="001969B9" w:rsidP="001969B9">
      <w:pPr>
        <w:pStyle w:val="ListBullet2"/>
      </w:pPr>
      <w:r w:rsidRPr="001969B9">
        <w:t>relevant workplace experience.</w:t>
      </w:r>
    </w:p>
    <w:p w:rsidR="00000000" w:rsidRPr="001969B9" w:rsidP="001969B9">
      <w:pPr>
        <w:pStyle w:val="ListBullet"/>
      </w:pPr>
      <w:r w:rsidRPr="001969B9">
        <w:t>Currency can be demonstrated through:</w:t>
      </w:r>
    </w:p>
    <w:p w:rsidR="00000000" w:rsidRPr="001969B9" w:rsidP="001969B9">
      <w:pPr>
        <w:pStyle w:val="ListBullet2"/>
      </w:pPr>
      <w:r w:rsidRPr="001969B9">
        <w:t>performing the competency being assessed as part of current employment OR</w:t>
      </w:r>
    </w:p>
    <w:p w:rsidR="00000000" w:rsidRPr="001969B9" w:rsidP="001969B9">
      <w:pPr>
        <w:pStyle w:val="ListBullet2"/>
      </w:pPr>
      <w:r w:rsidRPr="001969B9">
        <w:t>having consulted with a laboratory about performing the competency being assessed within the last twelve months.</w:t>
      </w:r>
    </w:p>
    <w:p w:rsidR="00000000" w:rsidRPr="001969B9" w:rsidP="001969B9">
      <w:pPr>
        <w:pStyle w:val="AllowPageBreak"/>
      </w:pPr>
    </w:p>
    <w:p w:rsidR="00000000" w:rsidRPr="001969B9" w:rsidP="001969B9">
      <w:pPr>
        <w:pStyle w:val="Heading1"/>
      </w:pPr>
      <w:bookmarkStart w:id="5" w:name="O_890524"/>
      <w:bookmarkEnd w:id="5"/>
      <w:r w:rsidRPr="001969B9">
        <w:t>Links</w:t>
      </w:r>
    </w:p>
    <w:p w:rsidR="00000000" w:rsidRPr="001969B9" w:rsidP="00C92581">
      <w:pPr>
        <w:pStyle w:val="BodyText"/>
      </w:pPr>
      <w:r w:rsidRPr="001969B9">
        <w:t>Companion Volume implementation guides are fou</w:t>
      </w:r>
      <w:r w:rsidRPr="001969B9">
        <w:t xml:space="preserve">nd in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4D511D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1969B9" w:rsidP="001969B9"/>
    <w:sectPr w:rsidSect="001969B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9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9B9" w:rsidRPr="00C92581" w:rsidP="00C925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9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581" w:rsidP="001969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2581" w:rsidP="001969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92581" w:rsidP="001969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9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5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69B9" w:rsidRPr="00C92581" w:rsidP="00C925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9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581" w:rsidRPr="002D2AF8" w:rsidP="001969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MSL973007 Perform microscopic examination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C92581" w:rsidP="001969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F073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1625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968D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69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69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69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69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69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69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69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69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69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69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69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69B9"/>
  </w:style>
  <w:style w:type="character" w:customStyle="1" w:styleId="Heading1Char">
    <w:name w:val="Heading 1 Char"/>
    <w:basedOn w:val="DefaultParagraphFont"/>
    <w:link w:val="Heading1"/>
    <w:rsid w:val="001969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69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69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69B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969B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69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69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969B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969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69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69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69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69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69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69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69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69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69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69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69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69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69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69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69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69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69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69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69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69B9"/>
    <w:rPr>
      <w:b/>
      <w:spacing w:val="0"/>
    </w:rPr>
  </w:style>
  <w:style w:type="paragraph" w:customStyle="1" w:styleId="SuperTitle">
    <w:name w:val="SuperTitle"/>
    <w:basedOn w:val="Title"/>
    <w:rsid w:val="001969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69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69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69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69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69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69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69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69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69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69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69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69B9"/>
    <w:rPr>
      <w:i/>
    </w:rPr>
  </w:style>
  <w:style w:type="paragraph" w:styleId="Caption">
    <w:name w:val="caption"/>
    <w:basedOn w:val="BodyText"/>
    <w:next w:val="Normal"/>
    <w:qFormat/>
    <w:rsid w:val="001969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69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69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69B9"/>
  </w:style>
  <w:style w:type="paragraph" w:styleId="TableofFigures">
    <w:name w:val="table of figures"/>
    <w:basedOn w:val="Normal"/>
    <w:next w:val="Normal"/>
    <w:semiHidden/>
    <w:rsid w:val="001969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69B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969B9"/>
    <w:rPr>
      <w:rFonts w:ascii="Wingdings" w:hAnsi="Wingdings"/>
    </w:rPr>
  </w:style>
  <w:style w:type="paragraph" w:customStyle="1" w:styleId="TableHeading">
    <w:name w:val="Table Heading"/>
    <w:basedOn w:val="HeadingBase"/>
    <w:rsid w:val="001969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69B9"/>
    <w:rPr>
      <w:color w:val="0033CC"/>
      <w:u w:val="none"/>
    </w:rPr>
  </w:style>
  <w:style w:type="paragraph" w:customStyle="1" w:styleId="BodyTextRight">
    <w:name w:val="Body Text Right"/>
    <w:basedOn w:val="BodyText"/>
    <w:rsid w:val="001969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69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69B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69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69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69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69B9"/>
    <w:rPr>
      <w:sz w:val="32"/>
    </w:rPr>
  </w:style>
  <w:style w:type="paragraph" w:customStyle="1" w:styleId="HeadingProcedure">
    <w:name w:val="Heading Procedure"/>
    <w:basedOn w:val="HeadingBase"/>
    <w:next w:val="Normal"/>
    <w:rsid w:val="001969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69B9"/>
    <w:pPr>
      <w:spacing w:before="60" w:after="60"/>
    </w:pPr>
  </w:style>
  <w:style w:type="paragraph" w:styleId="ListContinue">
    <w:name w:val="List Continue"/>
    <w:basedOn w:val="List"/>
    <w:rsid w:val="001969B9"/>
    <w:pPr>
      <w:ind w:firstLine="0"/>
    </w:pPr>
  </w:style>
  <w:style w:type="paragraph" w:customStyle="1" w:styleId="ListNote">
    <w:name w:val="List Note"/>
    <w:basedOn w:val="List"/>
    <w:rsid w:val="001969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69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69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69B9"/>
    <w:rPr>
      <w:rFonts w:ascii="Courier New" w:hAnsi="Courier New"/>
    </w:rPr>
  </w:style>
  <w:style w:type="paragraph" w:customStyle="1" w:styleId="NoteBullet">
    <w:name w:val="Note Bullet"/>
    <w:basedOn w:val="Note"/>
    <w:rsid w:val="001969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69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69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69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69B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969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69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69B9"/>
    <w:rPr>
      <w:b/>
      <w:smallCaps/>
    </w:rPr>
  </w:style>
  <w:style w:type="paragraph" w:customStyle="1" w:styleId="TableListNumber">
    <w:name w:val="Table List Number"/>
    <w:basedOn w:val="ListNumber"/>
    <w:rsid w:val="001969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69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69B9"/>
    <w:pPr>
      <w:numPr>
        <w:numId w:val="10"/>
      </w:numPr>
    </w:pPr>
  </w:style>
  <w:style w:type="paragraph" w:customStyle="1" w:styleId="ListAlpha2">
    <w:name w:val="List Alpha 2"/>
    <w:basedOn w:val="List2"/>
    <w:rsid w:val="001969B9"/>
    <w:pPr>
      <w:numPr>
        <w:numId w:val="9"/>
      </w:numPr>
    </w:pPr>
  </w:style>
  <w:style w:type="paragraph" w:styleId="List2">
    <w:name w:val="List 2"/>
    <w:basedOn w:val="BodyText"/>
    <w:rsid w:val="001969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69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69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69B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969B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969B9"/>
    <w:pPr>
      <w:numPr>
        <w:numId w:val="5"/>
      </w:numPr>
    </w:pPr>
  </w:style>
  <w:style w:type="paragraph" w:styleId="ListContinue2">
    <w:name w:val="List Continue 2"/>
    <w:basedOn w:val="List2"/>
    <w:rsid w:val="001969B9"/>
    <w:pPr>
      <w:ind w:firstLine="0"/>
    </w:pPr>
  </w:style>
  <w:style w:type="paragraph" w:styleId="ListContinue3">
    <w:name w:val="List Continue 3"/>
    <w:basedOn w:val="List3"/>
    <w:rsid w:val="001969B9"/>
    <w:pPr>
      <w:ind w:left="1021" w:firstLine="0"/>
    </w:pPr>
  </w:style>
  <w:style w:type="paragraph" w:styleId="ListContinue4">
    <w:name w:val="List Continue 4"/>
    <w:basedOn w:val="List4"/>
    <w:rsid w:val="001969B9"/>
    <w:pPr>
      <w:ind w:firstLine="0"/>
    </w:pPr>
  </w:style>
  <w:style w:type="paragraph" w:styleId="ListContinue5">
    <w:name w:val="List Continue 5"/>
    <w:basedOn w:val="List5"/>
    <w:rsid w:val="001969B9"/>
    <w:pPr>
      <w:ind w:firstLine="0"/>
    </w:pPr>
  </w:style>
  <w:style w:type="paragraph" w:styleId="ListNumber3">
    <w:name w:val="List Number 3"/>
    <w:basedOn w:val="List3"/>
    <w:rsid w:val="001969B9"/>
    <w:pPr>
      <w:numPr>
        <w:numId w:val="6"/>
      </w:numPr>
    </w:pPr>
  </w:style>
  <w:style w:type="paragraph" w:styleId="ListNumber4">
    <w:name w:val="List Number 4"/>
    <w:basedOn w:val="List4"/>
    <w:rsid w:val="001969B9"/>
    <w:pPr>
      <w:numPr>
        <w:numId w:val="7"/>
      </w:numPr>
    </w:pPr>
  </w:style>
  <w:style w:type="paragraph" w:styleId="ListNumber5">
    <w:name w:val="List Number 5"/>
    <w:basedOn w:val="List5"/>
    <w:rsid w:val="001969B9"/>
    <w:pPr>
      <w:numPr>
        <w:numId w:val="8"/>
      </w:numPr>
    </w:pPr>
  </w:style>
  <w:style w:type="paragraph" w:styleId="BlockText">
    <w:name w:val="Block Text"/>
    <w:basedOn w:val="Normal"/>
    <w:rsid w:val="001969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69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69B9"/>
    <w:rPr>
      <w:sz w:val="16"/>
      <w:vertAlign w:val="superscript"/>
    </w:rPr>
  </w:style>
  <w:style w:type="character" w:customStyle="1" w:styleId="Symbols">
    <w:name w:val="Symbols"/>
    <w:basedOn w:val="DefaultParagraphFont"/>
    <w:rsid w:val="001969B9"/>
    <w:rPr>
      <w:rFonts w:ascii="Symbol" w:hAnsi="Symbol"/>
    </w:rPr>
  </w:style>
  <w:style w:type="character" w:customStyle="1" w:styleId="MenuOptions">
    <w:name w:val="Menu Options"/>
    <w:basedOn w:val="DefaultParagraphFont"/>
    <w:rsid w:val="001969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69B9"/>
    <w:rPr>
      <w:b/>
    </w:rPr>
  </w:style>
  <w:style w:type="character" w:customStyle="1" w:styleId="Underlined">
    <w:name w:val="Underlined"/>
    <w:basedOn w:val="DefaultParagraphFont"/>
    <w:rsid w:val="001969B9"/>
    <w:rPr>
      <w:u w:val="single"/>
    </w:rPr>
  </w:style>
  <w:style w:type="paragraph" w:customStyle="1" w:styleId="TableBodyTextRight">
    <w:name w:val="Table Body Text Right"/>
    <w:basedOn w:val="TableBodyText"/>
    <w:rsid w:val="001969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69B9"/>
    <w:rPr>
      <w:sz w:val="18"/>
    </w:rPr>
  </w:style>
  <w:style w:type="paragraph" w:customStyle="1" w:styleId="BodySmallRight">
    <w:name w:val="Body Small Right"/>
    <w:basedOn w:val="BodyTextRight"/>
    <w:rsid w:val="001969B9"/>
    <w:rPr>
      <w:sz w:val="18"/>
      <w:szCs w:val="18"/>
    </w:rPr>
  </w:style>
  <w:style w:type="paragraph" w:customStyle="1" w:styleId="MarginEdition">
    <w:name w:val="Margin Edition"/>
    <w:basedOn w:val="MarginNote"/>
    <w:rsid w:val="001969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69B9"/>
    <w:rPr>
      <w:sz w:val="2"/>
      <w:szCs w:val="2"/>
    </w:rPr>
  </w:style>
  <w:style w:type="character" w:customStyle="1" w:styleId="Small">
    <w:name w:val="Small"/>
    <w:basedOn w:val="DefaultParagraphFont"/>
    <w:rsid w:val="001969B9"/>
    <w:rPr>
      <w:sz w:val="16"/>
    </w:rPr>
  </w:style>
  <w:style w:type="paragraph" w:customStyle="1" w:styleId="WideTable">
    <w:name w:val="Wide Table"/>
    <w:basedOn w:val="Normal"/>
    <w:rsid w:val="001969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69B9"/>
  </w:style>
  <w:style w:type="paragraph" w:styleId="Quote">
    <w:name w:val="Quote"/>
    <w:basedOn w:val="Heading1"/>
    <w:link w:val="QuoteChar"/>
    <w:qFormat/>
    <w:rsid w:val="001969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69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69B9"/>
    <w:pPr>
      <w:pageBreakBefore/>
    </w:pPr>
  </w:style>
  <w:style w:type="paragraph" w:customStyle="1" w:styleId="Border">
    <w:name w:val="Border"/>
    <w:basedOn w:val="Normal"/>
    <w:qFormat/>
    <w:rsid w:val="001969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69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69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69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69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69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69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69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69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69B9"/>
    <w:rPr>
      <w:u w:val="single"/>
    </w:rPr>
  </w:style>
  <w:style w:type="character" w:customStyle="1" w:styleId="BoldandItalics">
    <w:name w:val="Bold and Italics"/>
    <w:qFormat/>
    <w:rsid w:val="001969B9"/>
    <w:rPr>
      <w:b/>
      <w:i/>
      <w:u w:val="none"/>
    </w:rPr>
  </w:style>
  <w:style w:type="paragraph" w:styleId="BalloonText">
    <w:name w:val="Balloon Text"/>
    <w:basedOn w:val="Normal"/>
    <w:link w:val="BalloonTextChar"/>
    <w:rsid w:val="001969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69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69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69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69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69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69B9"/>
    <w:pPr>
      <w:spacing w:before="0" w:after="0"/>
    </w:pPr>
  </w:style>
  <w:style w:type="paragraph" w:customStyle="1" w:styleId="BodyTextBold">
    <w:name w:val="Body Text Bold"/>
    <w:basedOn w:val="BodyText"/>
    <w:qFormat/>
    <w:rsid w:val="001969B9"/>
    <w:rPr>
      <w:b/>
    </w:rPr>
  </w:style>
  <w:style w:type="character" w:styleId="Hyperlink">
    <w:name w:val="Hyperlink"/>
    <w:basedOn w:val="DefaultParagraphFont"/>
    <w:uiPriority w:val="99"/>
    <w:unhideWhenUsed/>
    <w:rsid w:val="00C925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785</Words>
  <Characters>5235</Characters>
  <Application>Microsoft Office Word</Application>
  <DocSecurity>0</DocSecurity>
  <Lines>113</Lines>
  <Paragraphs>87</Paragraphs>
  <ScaleCrop>false</ScaleCrop>
  <Company>Author-it Software Corporation Ltd.</Company>
  <LinksUpToDate>false</LinksUpToDate>
  <CharactersWithSpaces>5933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MSL973007 Perform microscopic examination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2021-03-30T01:37:00Z</dcterms:created>
  <dcterms:modified xsi:type="dcterms:W3CDTF">2021-03-30T01:37:00Z</dcterms:modified>
</cp:coreProperties>
</file>