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D36" w:rsidP="00541D36">
      <w:pPr>
        <w:pStyle w:val="Title"/>
      </w:pPr>
      <w:r>
        <w:fldChar w:fldCharType="begin"/>
      </w:r>
      <w:r>
        <w:instrText xml:space="preserve"> TITLE   \* MERGEFORMAT </w:instrText>
      </w:r>
      <w:r>
        <w:fldChar w:fldCharType="separate"/>
      </w:r>
      <w:r>
        <w:t>MSL973004 Perform aseptic techniques</w:t>
      </w:r>
      <w:r>
        <w:fldChar w:fldCharType="end"/>
      </w:r>
    </w:p>
    <w:p w:rsidR="00541D36" w:rsidP="00541D36">
      <w:pPr>
        <w:pStyle w:val="Version"/>
        <w:sectPr w:rsidSect="000812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243" w:rsidP="00081243">
      <w:pPr>
        <w:pStyle w:val="SuperHeading"/>
      </w:pPr>
      <w:r w:rsidRPr="00081243">
        <w:t>MSL973004 Perform aseptic techniques</w:t>
      </w:r>
    </w:p>
    <w:p w:rsidR="00000000" w:rsidRPr="00081243" w:rsidP="00081243">
      <w:pPr>
        <w:pStyle w:val="Heading1"/>
      </w:pPr>
      <w:bookmarkStart w:id="1" w:name="O_890453"/>
      <w:bookmarkEnd w:id="1"/>
      <w:r w:rsidRPr="00081243">
        <w:t>Modification History</w:t>
      </w:r>
    </w:p>
    <w:p w:rsidR="00000000" w:rsidRPr="00081243" w:rsidP="00541D36">
      <w:pPr>
        <w:pStyle w:val="BodyText"/>
      </w:pPr>
      <w:r w:rsidRPr="00081243">
        <w:t>Release 1. Supersedes and is equivalent to MSL973004A Perform aseptic techniques</w:t>
      </w:r>
    </w:p>
    <w:p w:rsidR="00000000" w:rsidRPr="00081243" w:rsidP="00081243">
      <w:pPr>
        <w:pStyle w:val="Heading1"/>
      </w:pPr>
      <w:bookmarkStart w:id="2" w:name="O_890461"/>
      <w:bookmarkEnd w:id="2"/>
      <w:r w:rsidRPr="00081243">
        <w:t>Application</w:t>
      </w:r>
    </w:p>
    <w:p w:rsidR="00000000" w:rsidRPr="00081243" w:rsidP="00541D36">
      <w:pPr>
        <w:pStyle w:val="BodyText"/>
      </w:pPr>
      <w:r w:rsidRPr="00081243">
        <w:t xml:space="preserve">This unit of competency covers the ability to perform aseptic techniques to maintain the integrity of both the sample source </w:t>
      </w:r>
      <w:r w:rsidRPr="00081243">
        <w:t>and the sample. It applies to sampling techniques in tissue culture and to generic microbiological procedures.</w:t>
      </w:r>
    </w:p>
    <w:p w:rsidR="00000000" w:rsidRPr="00081243" w:rsidP="00541D36">
      <w:pPr>
        <w:pStyle w:val="BodyText"/>
      </w:pPr>
      <w:r w:rsidRPr="00081243">
        <w:t>This unit of competency is applicable to laboratory assistants and technicians working in the field or laboratory in the biomedical, biological,</w:t>
      </w:r>
      <w:r w:rsidRPr="00081243">
        <w:t xml:space="preserve"> food processing and environmental industry sectors.</w:t>
      </w:r>
    </w:p>
    <w:p w:rsidR="00000000" w:rsidRPr="00081243" w:rsidP="00541D36">
      <w:pPr>
        <w:pStyle w:val="BodyText"/>
      </w:pPr>
      <w:r w:rsidRPr="00081243">
        <w:t>While no specific licensing or certification requirements apply to this unit at the time of publication, laboratory operations are governed by relevant legislation, regulations and/or external accredita</w:t>
      </w:r>
      <w:r w:rsidRPr="00081243">
        <w:t>tion requirements. Local requirements should be checked</w:t>
      </w:r>
    </w:p>
    <w:p w:rsidR="00000000" w:rsidRPr="00081243" w:rsidP="00081243">
      <w:pPr>
        <w:pStyle w:val="Heading1"/>
      </w:pPr>
      <w:bookmarkStart w:id="3" w:name="O_890460"/>
      <w:bookmarkEnd w:id="3"/>
      <w:r w:rsidRPr="00081243">
        <w:t>Pre-requisite Unit</w:t>
      </w:r>
    </w:p>
    <w:p w:rsidR="00000000" w:rsidRPr="00081243" w:rsidP="00541D36">
      <w:pPr>
        <w:pStyle w:val="BodyText"/>
      </w:pPr>
      <w:r w:rsidRPr="00081243">
        <w:t>Nil</w:t>
      </w:r>
    </w:p>
    <w:p w:rsidR="00000000" w:rsidRPr="00081243" w:rsidP="00081243">
      <w:pPr>
        <w:pStyle w:val="Heading1"/>
      </w:pPr>
      <w:bookmarkStart w:id="4" w:name="O_890459"/>
      <w:bookmarkEnd w:id="4"/>
      <w:r w:rsidRPr="00081243">
        <w:t>Competency Field</w:t>
      </w:r>
    </w:p>
    <w:p w:rsidR="00000000" w:rsidRPr="00081243" w:rsidP="00541D36">
      <w:pPr>
        <w:pStyle w:val="BodyText"/>
      </w:pPr>
      <w:r w:rsidRPr="00081243">
        <w:t>Testing</w:t>
      </w:r>
    </w:p>
    <w:p w:rsidR="00000000" w:rsidRPr="00081243" w:rsidP="00081243">
      <w:pPr>
        <w:pStyle w:val="Heading1"/>
      </w:pPr>
      <w:bookmarkStart w:id="5" w:name="O_890458"/>
      <w:bookmarkEnd w:id="5"/>
      <w:r w:rsidRPr="00081243">
        <w:t>Unit Sector</w:t>
      </w:r>
    </w:p>
    <w:p w:rsidR="00000000" w:rsidRPr="00081243" w:rsidP="00081243">
      <w:pPr>
        <w:pStyle w:val="Heading1"/>
      </w:pPr>
      <w:bookmarkStart w:id="6" w:name="O_890457"/>
      <w:bookmarkEnd w:id="6"/>
      <w:r w:rsidRPr="0008124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8124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Elements describe the essential outcome</w:t>
            </w:r>
            <w:r w:rsidRPr="00081243">
              <w:t>s.</w:t>
            </w:r>
          </w:p>
        </w:tc>
        <w:tc>
          <w:tcPr>
            <w:tcW w:w="6380" w:type="dxa"/>
            <w:gridSpan w:val="2"/>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Performance criteria describe the performance needed to demonstrate achievement of the element.</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1</w:t>
            </w:r>
          </w:p>
        </w:tc>
        <w:tc>
          <w:tcPr>
            <w:tcW w:w="1962" w:type="dxa"/>
            <w:vMerge w:val="restart"/>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rPr>
                <w:rStyle w:val="SpecialBold"/>
              </w:rPr>
              <w:t>Prepare for aseptic sampling or transfer</w:t>
            </w: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1.1</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Ensure that any sampling procedure conforms with the requirements of the sampling plan</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1.2</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Use specified personal protective equipment (PPE)</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1.3</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Prepare the work area for safe and effective sample transfer</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1.4</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Select equipment and materials specified by the procedure</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1.5</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Organise equipment to minimise contamination during manipulations</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1.6</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Label containers for clear identification</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1.7</w:t>
            </w:r>
          </w:p>
        </w:tc>
        <w:tc>
          <w:tcPr>
            <w:tcW w:w="5610"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Record details in relevant log or database</w:t>
            </w:r>
          </w:p>
        </w:tc>
      </w:tr>
    </w:tbl>
    <w:p w:rsidR="00000000" w:rsidRPr="00081243" w:rsidP="00081243">
      <w:pPr>
        <w:pStyle w:val="BodyText"/>
      </w:pPr>
    </w:p>
    <w:tbl>
      <w:tblPr>
        <w:tblW w:w="0" w:type="auto"/>
        <w:tblLayout w:type="fixed"/>
        <w:tblCellMar>
          <w:left w:w="62" w:type="dxa"/>
          <w:right w:w="62" w:type="dxa"/>
        </w:tblCellMar>
        <w:tblLook w:val="0000"/>
      </w:tblPr>
      <w:tblGrid>
        <w:gridCol w:w="678"/>
        <w:gridCol w:w="1962"/>
        <w:gridCol w:w="770"/>
        <w:gridCol w:w="5610"/>
      </w:tblGrid>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2</w:t>
            </w:r>
          </w:p>
        </w:tc>
        <w:tc>
          <w:tcPr>
            <w:tcW w:w="1962" w:type="dxa"/>
            <w:vMerge w:val="restart"/>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rPr>
                <w:rStyle w:val="SpecialBold"/>
              </w:rPr>
              <w:t>Transfer materials aseptically</w:t>
            </w: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2.1</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Protect the integrity of the sample source by sterilising the sampling site and the mouth of transport or culture vessel</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2.2</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Sterilise inoculating loops and/or pipette where used to prevent contamination</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2.3</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Perform transfer while minimising opportunities for contamination and cross-infection</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2.4</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After transfer, and before sealing the transport or culture vessel, flame the vessel mouth to maintain sterility</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2.5</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 xml:space="preserve">Re-sterilise inoculating loops, minimising </w:t>
            </w:r>
            <w:r w:rsidRPr="00081243">
              <w:t>the generation of aerosols</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2.6</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Perform quality control checks as required</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2.7</w:t>
            </w:r>
          </w:p>
        </w:tc>
        <w:tc>
          <w:tcPr>
            <w:tcW w:w="5610"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Label transport or culture vessels for clear identification</w:t>
            </w:r>
          </w:p>
        </w:tc>
      </w:tr>
    </w:tbl>
    <w:p w:rsidR="00000000" w:rsidRPr="00081243" w:rsidP="00081243">
      <w:pPr>
        <w:pStyle w:val="BodyText"/>
      </w:pPr>
    </w:p>
    <w:tbl>
      <w:tblPr>
        <w:tblW w:w="0" w:type="auto"/>
        <w:tblLayout w:type="fixed"/>
        <w:tblCellMar>
          <w:left w:w="62" w:type="dxa"/>
          <w:right w:w="62" w:type="dxa"/>
        </w:tblCellMar>
        <w:tblLook w:val="0000"/>
      </w:tblPr>
      <w:tblGrid>
        <w:gridCol w:w="678"/>
        <w:gridCol w:w="1962"/>
        <w:gridCol w:w="770"/>
        <w:gridCol w:w="5610"/>
      </w:tblGrid>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3</w:t>
            </w:r>
          </w:p>
        </w:tc>
        <w:tc>
          <w:tcPr>
            <w:tcW w:w="1962" w:type="dxa"/>
            <w:vMerge w:val="restart"/>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rPr>
                <w:rStyle w:val="SpecialBold"/>
              </w:rPr>
              <w:t>Maintain work area and equipment to prevent cross-infection and contamination</w:t>
            </w: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3.1</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Place disposable and reusable items into relevant receptacles</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3.2</w:t>
            </w:r>
          </w:p>
        </w:tc>
        <w:tc>
          <w:tcPr>
            <w:tcW w:w="561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Clean and disinfect work area and equipment after use</w:t>
            </w:r>
          </w:p>
        </w:tc>
      </w:tr>
      <w:tr w:rsidTr="0008124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3.3</w:t>
            </w:r>
          </w:p>
        </w:tc>
        <w:tc>
          <w:tcPr>
            <w:tcW w:w="5610"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Transport disposable and reusable contaminated materials to relevant areas for disinfection, sterilisation and cleaning or disposal</w:t>
            </w:r>
          </w:p>
        </w:tc>
      </w:tr>
    </w:tbl>
    <w:p w:rsidR="00000000" w:rsidRPr="00081243" w:rsidP="00081243">
      <w:pPr>
        <w:pStyle w:val="BodyText"/>
      </w:pPr>
    </w:p>
    <w:p w:rsidR="00000000" w:rsidRPr="00081243" w:rsidP="00081243">
      <w:pPr>
        <w:pStyle w:val="AllowPageBreak"/>
      </w:pPr>
    </w:p>
    <w:p w:rsidR="00000000" w:rsidRPr="00081243" w:rsidP="00081243">
      <w:pPr>
        <w:pStyle w:val="Heading1"/>
      </w:pPr>
      <w:bookmarkStart w:id="7" w:name="O_890456"/>
      <w:bookmarkEnd w:id="7"/>
      <w:r w:rsidRPr="00081243">
        <w:t>Foundation Skills</w:t>
      </w:r>
    </w:p>
    <w:p w:rsidR="00000000" w:rsidRPr="00081243" w:rsidP="00541D36">
      <w:pPr>
        <w:pStyle w:val="BodyText"/>
      </w:pPr>
      <w:r w:rsidRPr="00081243">
        <w:t>This section describes those language, literacy, numeracy and employment skills that ar</w:t>
      </w:r>
      <w:r w:rsidRPr="00081243">
        <w:t>e essential to performance.</w:t>
      </w:r>
    </w:p>
    <w:p w:rsidR="00000000" w:rsidRPr="00081243" w:rsidP="00541D36">
      <w:pPr>
        <w:pStyle w:val="BodyText"/>
      </w:pPr>
      <w:r w:rsidRPr="00081243">
        <w:t>Foundation skills essential to performance are explicit in the performance criteria of this unit of competency.</w:t>
      </w:r>
    </w:p>
    <w:p w:rsidR="00000000" w:rsidRPr="00081243" w:rsidP="00081243">
      <w:pPr>
        <w:pStyle w:val="Heading1"/>
      </w:pPr>
      <w:bookmarkStart w:id="8" w:name="O_890455"/>
      <w:bookmarkEnd w:id="8"/>
      <w:r w:rsidRPr="00081243">
        <w:t>Range of Conditions</w:t>
      </w:r>
    </w:p>
    <w:tbl>
      <w:tblPr>
        <w:tblW w:w="0" w:type="auto"/>
        <w:tblLayout w:type="fixed"/>
        <w:tblCellMar>
          <w:left w:w="62" w:type="dxa"/>
          <w:right w:w="62" w:type="dxa"/>
        </w:tblCellMar>
        <w:tblLook w:val="0000"/>
      </w:tblPr>
      <w:tblGrid>
        <w:gridCol w:w="2732"/>
        <w:gridCol w:w="6340"/>
      </w:tblGrid>
      <w:tr w:rsidTr="0008124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t>This field allows for different work environments and conditions that may affe</w:t>
            </w:r>
            <w:r w:rsidRPr="00081243">
              <w:t>ct performance. Essential operating conditions that may be present (depending on the work situation, needs of the candidate, accessibility of the item, and local industry and regional contexts) are included.</w:t>
            </w:r>
          </w:p>
        </w:tc>
      </w:tr>
      <w:tr w:rsidTr="00081243">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rPr>
                <w:rStyle w:val="SpecialBold"/>
              </w:rPr>
              <w:t xml:space="preserve">Standards, codes, procedures and/or workplace </w:t>
            </w:r>
            <w:r w:rsidRPr="00081243">
              <w:rPr>
                <w:rStyle w:val="SpecialBold"/>
              </w:rPr>
              <w:t xml:space="preserve">requirements </w:t>
            </w:r>
          </w:p>
        </w:tc>
        <w:tc>
          <w:tcPr>
            <w:tcW w:w="6340"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Standards, codes, procedures and/or workplace requirements include the latest version of one or more of:</w:t>
            </w:r>
          </w:p>
          <w:p w:rsidR="00000000" w:rsidRPr="00081243" w:rsidP="00081243">
            <w:pPr>
              <w:pStyle w:val="ListBullet"/>
            </w:pPr>
            <w:r w:rsidRPr="00081243">
              <w:t>Australian and international standards covering the requirements for the competence of testing and calib</w:t>
            </w:r>
            <w:r w:rsidRPr="00081243">
              <w:t>ration laboratories, laboratory safety, quality management and environmental management</w:t>
            </w:r>
          </w:p>
          <w:p w:rsidR="00000000" w:rsidRPr="00081243" w:rsidP="00081243">
            <w:pPr>
              <w:pStyle w:val="ListBullet"/>
            </w:pPr>
            <w:r w:rsidRPr="00081243">
              <w:t>Australian standards covering the requirements for occupational personal protection; cleaning, disinfecting and sterilising reusable medical and surgical instruments an</w:t>
            </w:r>
            <w:r w:rsidRPr="00081243">
              <w:t>d equipment; and maintenance of associated environments in health care facilities</w:t>
            </w:r>
          </w:p>
          <w:p w:rsidR="00000000" w:rsidRPr="00081243" w:rsidP="00081243">
            <w:pPr>
              <w:pStyle w:val="ListBullet"/>
            </w:pPr>
            <w:r w:rsidRPr="00081243">
              <w:t>national work health and safety (WHS) standards and codes of practice, national environmental protection measures, and national measurement regulations and guidelines</w:t>
            </w:r>
          </w:p>
          <w:p w:rsidR="00000000" w:rsidRPr="00081243" w:rsidP="00081243">
            <w:pPr>
              <w:pStyle w:val="ListBullet"/>
            </w:pPr>
            <w:r w:rsidRPr="00081243">
              <w:t>specifi</w:t>
            </w:r>
            <w:r w:rsidRPr="00081243">
              <w:t>c codes, guidelines and procedures, such as National Association of Testing Authorities (NATA) accreditation requirements, principles of good laboratory practice (GLP), Australia New Zealand Food Standards (ANZFS) Code, Australian code of good manufacturin</w:t>
            </w:r>
            <w:r w:rsidRPr="00081243">
              <w:t>g practice for medicinal products (GMP), Australian Dangerous Goods Code and labelling of workplace substances</w:t>
            </w:r>
          </w:p>
          <w:p w:rsidR="00000000" w:rsidRPr="00081243" w:rsidP="00081243">
            <w:pPr>
              <w:pStyle w:val="ListBullet"/>
            </w:pPr>
            <w:r w:rsidRPr="00081243">
              <w:t>workplace documents, such as standard operating procedures (SOPs); quality and equipment manuals; calibration and maintenance schedules; material</w:t>
            </w:r>
            <w:r w:rsidRPr="00081243">
              <w:t xml:space="preserve"> safety data sheets (MSDS); safety procedures; material, client and product specifications; production and laboratory schedules; workplace recording and reporting procedures; and waste minimisation and safe disposal procedures</w:t>
            </w:r>
          </w:p>
          <w:p w:rsidR="00000000" w:rsidRPr="00081243" w:rsidP="00081243">
            <w:pPr>
              <w:pStyle w:val="ListBullet"/>
            </w:pPr>
            <w:r w:rsidRPr="00081243">
              <w:t>workplace procedures and stan</w:t>
            </w:r>
            <w:r w:rsidRPr="00081243">
              <w:t>dard methods for preparing culture media, and operation and maintenance manuals for automated media preparation equipment</w:t>
            </w:r>
          </w:p>
          <w:p w:rsidR="00000000" w:rsidP="00081243">
            <w:pPr>
              <w:pStyle w:val="BodyText"/>
              <w:rPr>
                <w:lang w:val="en-NZ"/>
              </w:rPr>
            </w:pPr>
          </w:p>
        </w:tc>
      </w:tr>
      <w:tr w:rsidTr="00081243">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rPr>
                <w:rStyle w:val="SpecialBold"/>
              </w:rPr>
              <w:t xml:space="preserve">PPE </w:t>
            </w:r>
          </w:p>
        </w:tc>
        <w:tc>
          <w:tcPr>
            <w:tcW w:w="6340"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PPE includes, but is not limited to, one or more of:</w:t>
            </w:r>
          </w:p>
          <w:p w:rsidR="00000000" w:rsidRPr="00081243" w:rsidP="00081243">
            <w:pPr>
              <w:pStyle w:val="ListBullet"/>
            </w:pPr>
            <w:r w:rsidRPr="00081243">
              <w:t>gloves, safety glasses, goggles, face guards, coveralls, gowns, body suit</w:t>
            </w:r>
            <w:r w:rsidRPr="00081243">
              <w:t>s and respirators</w:t>
            </w:r>
          </w:p>
          <w:p w:rsidR="00000000" w:rsidRPr="00081243" w:rsidP="00081243">
            <w:pPr>
              <w:pStyle w:val="ListBullet"/>
            </w:pPr>
            <w:r w:rsidRPr="00081243">
              <w:t>biohazard containers and laminar flow cabinets</w:t>
            </w:r>
          </w:p>
          <w:p w:rsidR="00000000" w:rsidP="00081243">
            <w:pPr>
              <w:pStyle w:val="BodyText"/>
              <w:rPr>
                <w:lang w:val="en-NZ"/>
              </w:rPr>
            </w:pPr>
          </w:p>
        </w:tc>
      </w:tr>
      <w:tr w:rsidTr="00081243">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rPr>
                <w:rStyle w:val="SpecialBold"/>
              </w:rPr>
              <w:t xml:space="preserve">Sample pot and transfer media and the subculturing and/or passaging of culture </w:t>
            </w:r>
          </w:p>
        </w:tc>
        <w:tc>
          <w:tcPr>
            <w:tcW w:w="6340"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Sample pot and transfer media and the subculturing and/or passaging of culture to include, but are not limite</w:t>
            </w:r>
            <w:r w:rsidRPr="00081243">
              <w:t>d to, one or more of:</w:t>
            </w:r>
          </w:p>
          <w:p w:rsidR="00000000" w:rsidRPr="00081243" w:rsidP="00081243">
            <w:pPr>
              <w:pStyle w:val="ListBullet"/>
            </w:pPr>
            <w:r w:rsidRPr="00081243">
              <w:t>sterile broth</w:t>
            </w:r>
          </w:p>
          <w:p w:rsidR="00000000" w:rsidRPr="00081243" w:rsidP="00081243">
            <w:pPr>
              <w:pStyle w:val="ListBullet"/>
            </w:pPr>
            <w:r w:rsidRPr="00081243">
              <w:t>media for isolation of colony</w:t>
            </w:r>
          </w:p>
          <w:p w:rsidR="00000000" w:rsidRPr="00081243" w:rsidP="00081243">
            <w:pPr>
              <w:pStyle w:val="ListBullet"/>
            </w:pPr>
            <w:r w:rsidRPr="00081243">
              <w:t>tissue culture media</w:t>
            </w:r>
          </w:p>
          <w:p w:rsidR="00000000" w:rsidRPr="00081243" w:rsidP="00081243">
            <w:pPr>
              <w:pStyle w:val="ListBullet"/>
            </w:pPr>
            <w:r w:rsidRPr="00081243">
              <w:t>media for continuous culture systems</w:t>
            </w:r>
          </w:p>
          <w:p w:rsidR="00000000" w:rsidP="00081243">
            <w:pPr>
              <w:pStyle w:val="BodyText"/>
              <w:rPr>
                <w:lang w:val="en-NZ"/>
              </w:rPr>
            </w:pPr>
          </w:p>
        </w:tc>
      </w:tr>
      <w:tr w:rsidTr="00081243">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rPr>
                <w:rStyle w:val="SpecialBold"/>
              </w:rPr>
              <w:t xml:space="preserve">Samples </w:t>
            </w:r>
          </w:p>
        </w:tc>
        <w:tc>
          <w:tcPr>
            <w:tcW w:w="6340"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Samples include, but are not limited to, one or more of:</w:t>
            </w:r>
          </w:p>
          <w:p w:rsidR="00000000" w:rsidRPr="00081243" w:rsidP="00081243">
            <w:pPr>
              <w:pStyle w:val="ListBullet"/>
            </w:pPr>
            <w:r w:rsidRPr="00081243">
              <w:t>body fluids and liquids</w:t>
            </w:r>
          </w:p>
          <w:p w:rsidR="00000000" w:rsidRPr="00081243" w:rsidP="00081243">
            <w:pPr>
              <w:pStyle w:val="ListBullet"/>
            </w:pPr>
            <w:r w:rsidRPr="00081243">
              <w:t>water and soil</w:t>
            </w:r>
          </w:p>
          <w:p w:rsidR="00000000" w:rsidRPr="00081243" w:rsidP="00081243">
            <w:pPr>
              <w:pStyle w:val="ListBullet"/>
            </w:pPr>
            <w:r w:rsidRPr="00081243">
              <w:t>sterile pharmaceuticals</w:t>
            </w:r>
          </w:p>
          <w:p w:rsidR="00000000" w:rsidRPr="00081243" w:rsidP="00081243">
            <w:pPr>
              <w:pStyle w:val="ListBullet"/>
            </w:pPr>
            <w:r w:rsidRPr="00081243">
              <w:t>yeasts and moulds</w:t>
            </w:r>
          </w:p>
          <w:p w:rsidR="00000000" w:rsidRPr="00081243" w:rsidP="00081243">
            <w:pPr>
              <w:pStyle w:val="ListBullet"/>
            </w:pPr>
            <w:r w:rsidRPr="00081243">
              <w:t>milk and yoghurt</w:t>
            </w:r>
          </w:p>
          <w:p w:rsidR="00000000" w:rsidRPr="00081243" w:rsidP="00081243">
            <w:pPr>
              <w:pStyle w:val="ListBullet"/>
            </w:pPr>
            <w:r w:rsidRPr="00081243">
              <w:t>swabs and smears</w:t>
            </w:r>
          </w:p>
          <w:p w:rsidR="00000000" w:rsidRPr="00081243" w:rsidP="00081243">
            <w:pPr>
              <w:pStyle w:val="ListBullet"/>
            </w:pPr>
            <w:r w:rsidRPr="00081243">
              <w:t>propagation tissue</w:t>
            </w:r>
          </w:p>
          <w:p w:rsidR="00000000" w:rsidRPr="00081243" w:rsidP="00081243">
            <w:pPr>
              <w:pStyle w:val="ListBullet"/>
            </w:pPr>
            <w:r w:rsidRPr="00081243">
              <w:t>plant material</w:t>
            </w:r>
          </w:p>
          <w:p w:rsidR="00000000" w:rsidRPr="00081243" w:rsidP="00081243">
            <w:pPr>
              <w:pStyle w:val="ListBullet"/>
            </w:pPr>
            <w:r w:rsidRPr="00081243">
              <w:t>fermented foods and beverages</w:t>
            </w:r>
          </w:p>
          <w:p w:rsidR="00000000" w:rsidP="00081243">
            <w:pPr>
              <w:pStyle w:val="BodyText"/>
              <w:rPr>
                <w:lang w:val="en-NZ"/>
              </w:rPr>
            </w:pPr>
          </w:p>
        </w:tc>
      </w:tr>
      <w:tr w:rsidTr="00081243">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rPr>
                <w:rStyle w:val="SpecialBold"/>
              </w:rPr>
              <w:t xml:space="preserve">Sterilisation techniques </w:t>
            </w:r>
          </w:p>
        </w:tc>
        <w:tc>
          <w:tcPr>
            <w:tcW w:w="6340"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Sterilisation techniques include, but are not limited to, one or more of:</w:t>
            </w:r>
          </w:p>
          <w:p w:rsidR="00000000" w:rsidRPr="00081243" w:rsidP="00081243">
            <w:pPr>
              <w:pStyle w:val="ListBullet"/>
            </w:pPr>
            <w:r w:rsidRPr="00081243">
              <w:t>flaming</w:t>
            </w:r>
          </w:p>
          <w:p w:rsidR="00000000" w:rsidRPr="00081243" w:rsidP="00081243">
            <w:pPr>
              <w:pStyle w:val="ListBullet"/>
            </w:pPr>
            <w:r w:rsidRPr="00081243">
              <w:t>high temperature, high pressure steam, boiling and autoclaving</w:t>
            </w:r>
          </w:p>
          <w:p w:rsidR="00000000" w:rsidRPr="00081243" w:rsidP="00081243">
            <w:pPr>
              <w:pStyle w:val="ListBullet"/>
            </w:pPr>
            <w:r w:rsidRPr="00081243">
              <w:t>steam and membrane filtration</w:t>
            </w:r>
          </w:p>
          <w:p w:rsidR="00000000" w:rsidRPr="00081243" w:rsidP="00081243">
            <w:pPr>
              <w:pStyle w:val="ListBullet"/>
            </w:pPr>
            <w:r w:rsidRPr="00081243">
              <w:t>microwave, radiation, gas and/or chemical treatments</w:t>
            </w:r>
          </w:p>
          <w:p w:rsidR="00000000" w:rsidP="00081243">
            <w:pPr>
              <w:pStyle w:val="BodyText"/>
              <w:rPr>
                <w:lang w:val="en-NZ"/>
              </w:rPr>
            </w:pPr>
          </w:p>
        </w:tc>
      </w:tr>
      <w:tr w:rsidTr="00081243">
        <w:tblPrEx>
          <w:tblW w:w="0" w:type="auto"/>
          <w:tblLayout w:type="fixed"/>
          <w:tblCellMar>
            <w:left w:w="62" w:type="dxa"/>
            <w:right w:w="62" w:type="dxa"/>
          </w:tblCellMar>
          <w:tblLook w:val="0000"/>
        </w:tblPrEx>
        <w:tc>
          <w:tcPr>
            <w:tcW w:w="2732" w:type="dxa"/>
            <w:tcBorders>
              <w:top w:val="nil"/>
              <w:left w:val="nil"/>
              <w:bottom w:val="nil"/>
              <w:right w:val="nil"/>
            </w:tcBorders>
            <w:tcMar>
              <w:top w:w="0" w:type="dxa"/>
              <w:left w:w="62" w:type="dxa"/>
              <w:bottom w:w="0" w:type="dxa"/>
              <w:right w:w="62" w:type="dxa"/>
            </w:tcMar>
          </w:tcPr>
          <w:p w:rsidR="00000000" w:rsidP="00081243">
            <w:pPr>
              <w:pStyle w:val="BodyText"/>
              <w:rPr>
                <w:lang w:val="en-NZ"/>
              </w:rPr>
            </w:pPr>
            <w:r w:rsidRPr="00081243">
              <w:rPr>
                <w:rStyle w:val="SpecialBold"/>
              </w:rPr>
              <w:t xml:space="preserve">WHS and environmental management requirements </w:t>
            </w:r>
          </w:p>
        </w:tc>
        <w:tc>
          <w:tcPr>
            <w:tcW w:w="6340" w:type="dxa"/>
            <w:tcBorders>
              <w:top w:val="nil"/>
              <w:left w:val="nil"/>
              <w:bottom w:val="nil"/>
              <w:right w:val="nil"/>
            </w:tcBorders>
            <w:tcMar>
              <w:top w:w="0" w:type="dxa"/>
              <w:left w:w="62" w:type="dxa"/>
              <w:bottom w:w="0" w:type="dxa"/>
              <w:right w:w="62" w:type="dxa"/>
            </w:tcMar>
          </w:tcPr>
          <w:p w:rsidR="00000000" w:rsidRPr="00081243" w:rsidP="00081243">
            <w:pPr>
              <w:pStyle w:val="BodyText"/>
            </w:pPr>
            <w:r w:rsidRPr="00081243">
              <w:t>WHS and environmental management requirements include:</w:t>
            </w:r>
          </w:p>
          <w:p w:rsidR="00000000" w:rsidRPr="00081243" w:rsidP="00081243">
            <w:pPr>
              <w:pStyle w:val="BodyText"/>
            </w:pPr>
            <w:r w:rsidRPr="00081243">
              <w:rPr>
                <w:rStyle w:val="Symbols"/>
              </w:rPr>
              <w:t></w:t>
            </w:r>
            <w:r w:rsidRPr="00081243">
              <w:rPr>
                <w:rStyle w:val="Symbols"/>
              </w:rPr>
              <w:tab/>
            </w:r>
            <w:r w:rsidRPr="00081243">
              <w:t>complying with WHS and environmental management requirements at all times, which may be imposed through state/territory or federal legislation. These requirements must not be compromised at any time</w:t>
            </w:r>
          </w:p>
          <w:p w:rsidR="00000000" w:rsidRPr="00081243" w:rsidP="00081243">
            <w:pPr>
              <w:pStyle w:val="BodyText"/>
            </w:pPr>
            <w:r w:rsidRPr="00081243">
              <w:rPr>
                <w:rStyle w:val="Symbols"/>
              </w:rPr>
              <w:t></w:t>
            </w:r>
            <w:r w:rsidRPr="00081243">
              <w:rPr>
                <w:rStyle w:val="Symbols"/>
              </w:rPr>
              <w:tab/>
            </w:r>
            <w:r w:rsidRPr="00081243">
              <w:t>applying standard precautions relating to the potential</w:t>
            </w:r>
            <w:r w:rsidRPr="00081243">
              <w:t>ly hazardous nature of samples</w:t>
            </w:r>
          </w:p>
          <w:p w:rsidR="00000000" w:rsidRPr="00081243" w:rsidP="00081243">
            <w:pPr>
              <w:pStyle w:val="ListBullet"/>
            </w:pPr>
            <w:r w:rsidRPr="00081243">
              <w:t>accessing and applying current industry understanding of infection control issued by the National Health and Medical Research Council (NHMRC) and State and Territory Departments of Health, where relevant</w:t>
            </w:r>
          </w:p>
        </w:tc>
      </w:tr>
    </w:tbl>
    <w:p w:rsidR="00000000" w:rsidRPr="00081243" w:rsidP="00081243">
      <w:pPr>
        <w:pStyle w:val="BodyText"/>
      </w:pPr>
    </w:p>
    <w:p w:rsidR="00000000" w:rsidRPr="00081243" w:rsidP="00081243">
      <w:pPr>
        <w:pStyle w:val="AllowPageBreak"/>
      </w:pPr>
    </w:p>
    <w:p w:rsidR="00000000" w:rsidRPr="00081243" w:rsidP="00081243">
      <w:pPr>
        <w:pStyle w:val="Heading1"/>
      </w:pPr>
      <w:bookmarkStart w:id="9" w:name="O_890454"/>
      <w:bookmarkEnd w:id="9"/>
      <w:r w:rsidRPr="00081243">
        <w:t>Unit Mapping Information</w:t>
      </w:r>
    </w:p>
    <w:p w:rsidR="00000000" w:rsidRPr="00081243" w:rsidP="00541D36">
      <w:pPr>
        <w:pStyle w:val="BodyText"/>
      </w:pPr>
      <w:r w:rsidRPr="00081243">
        <w:t>Release 1. Supersedes and is equivalent to MSL973004A Perform aseptic techniques</w:t>
      </w:r>
    </w:p>
    <w:p w:rsidR="00000000" w:rsidRPr="00081243" w:rsidP="00081243">
      <w:pPr>
        <w:pStyle w:val="Heading1"/>
      </w:pPr>
      <w:bookmarkStart w:id="10" w:name="O_890447"/>
      <w:bookmarkEnd w:id="10"/>
      <w:r w:rsidRPr="00081243">
        <w:t>Links</w:t>
      </w:r>
    </w:p>
    <w:p w:rsidR="00000000" w:rsidRPr="00081243" w:rsidP="00541D36">
      <w:pPr>
        <w:pStyle w:val="BodyText"/>
      </w:pPr>
      <w:r w:rsidRPr="00081243">
        <w:t xml:space="preserve">Companion Volume implementation guides are found in VETNet - </w:t>
      </w:r>
      <w:r>
        <w:fldChar w:fldCharType="begin"/>
      </w:r>
      <w:r>
        <w:instrText xml:space="preserve"> HYPERLINK "https://vetnet.education.gov.au/Pages/TrainingDocs.aspx?q=5c63a03b-4a6b-4ae5-9560-1e3c5f462baa" </w:instrText>
      </w:r>
      <w:r>
        <w:fldChar w:fldCharType="separate"/>
      </w:r>
      <w:r w:rsidRPr="00436BF8">
        <w:rPr>
          <w:rStyle w:val="Hyperlink"/>
        </w:rPr>
        <w:t>https://vetnet.education.gov.au/Pages/TrainingDocs.aspx?q=5c63a03b-4a6b-4ae5-9560-1e3c5f462baa</w:t>
      </w:r>
      <w:r>
        <w:fldChar w:fldCharType="end"/>
      </w:r>
    </w:p>
    <w:p w:rsidR="00000000" w:rsidRPr="00081243" w:rsidP="00081243"/>
    <w:sectPr w:rsidSect="000812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43" w:rsidRPr="00541D36" w:rsidP="00541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36" w:rsidP="00081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41D36" w:rsidP="0008124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1D36" w:rsidP="00081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243" w:rsidRPr="00541D36" w:rsidP="00541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36" w:rsidRPr="002D2AF8" w:rsidP="00081243">
    <w:pPr>
      <w:pStyle w:val="Header"/>
      <w:framePr w:wrap="around"/>
    </w:pPr>
    <w:r>
      <w:fldChar w:fldCharType="begin"/>
    </w:r>
    <w:r>
      <w:instrText xml:space="preserve"> TITLE   \* MERGEFORMAT </w:instrText>
    </w:r>
    <w:r>
      <w:fldChar w:fldCharType="separate"/>
    </w:r>
    <w:r>
      <w:t>MSL973004 Perform aseptic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541D36" w:rsidP="00081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028B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5078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243"/>
    <w:pPr>
      <w:spacing w:before="360" w:after="60"/>
      <w:outlineLvl w:val="0"/>
    </w:pPr>
    <w:rPr>
      <w:sz w:val="32"/>
    </w:rPr>
  </w:style>
  <w:style w:type="paragraph" w:styleId="Heading2">
    <w:name w:val="heading 2"/>
    <w:basedOn w:val="HeadingBase"/>
    <w:next w:val="BodyText"/>
    <w:link w:val="Heading2Char"/>
    <w:qFormat/>
    <w:rsid w:val="00081243"/>
    <w:pPr>
      <w:keepLines/>
      <w:spacing w:before="240" w:after="120"/>
      <w:outlineLvl w:val="1"/>
    </w:pPr>
    <w:rPr>
      <w:sz w:val="28"/>
      <w:szCs w:val="40"/>
    </w:rPr>
  </w:style>
  <w:style w:type="paragraph" w:styleId="Heading3">
    <w:name w:val="heading 3"/>
    <w:basedOn w:val="HeadingBase"/>
    <w:next w:val="BodyText"/>
    <w:link w:val="Heading3Char"/>
    <w:qFormat/>
    <w:rsid w:val="00081243"/>
    <w:pPr>
      <w:spacing w:before="180" w:after="120"/>
      <w:outlineLvl w:val="2"/>
    </w:pPr>
    <w:rPr>
      <w:spacing w:val="-10"/>
      <w:kern w:val="32"/>
    </w:rPr>
  </w:style>
  <w:style w:type="paragraph" w:styleId="Heading4">
    <w:name w:val="heading 4"/>
    <w:basedOn w:val="HeadingBase"/>
    <w:next w:val="BodyText"/>
    <w:link w:val="Heading4Char"/>
    <w:qFormat/>
    <w:rsid w:val="00081243"/>
    <w:pPr>
      <w:spacing w:before="160" w:after="120"/>
      <w:outlineLvl w:val="3"/>
    </w:pPr>
    <w:rPr>
      <w:sz w:val="22"/>
    </w:rPr>
  </w:style>
  <w:style w:type="paragraph" w:styleId="Heading5">
    <w:name w:val="heading 5"/>
    <w:basedOn w:val="HeadingBase"/>
    <w:next w:val="Normal"/>
    <w:link w:val="Heading5Char"/>
    <w:qFormat/>
    <w:rsid w:val="00081243"/>
    <w:pPr>
      <w:spacing w:before="80"/>
      <w:outlineLvl w:val="4"/>
    </w:pPr>
    <w:rPr>
      <w:color w:val="918585"/>
      <w:sz w:val="20"/>
    </w:rPr>
  </w:style>
  <w:style w:type="paragraph" w:styleId="Heading6">
    <w:name w:val="heading 6"/>
    <w:basedOn w:val="HeadingBase"/>
    <w:next w:val="Normal"/>
    <w:link w:val="Heading6Char"/>
    <w:qFormat/>
    <w:rsid w:val="00081243"/>
    <w:pPr>
      <w:spacing w:before="60"/>
      <w:outlineLvl w:val="5"/>
    </w:pPr>
    <w:rPr>
      <w:color w:val="918585"/>
      <w:sz w:val="20"/>
    </w:rPr>
  </w:style>
  <w:style w:type="paragraph" w:styleId="Heading7">
    <w:name w:val="heading 7"/>
    <w:basedOn w:val="Normal"/>
    <w:next w:val="Normal"/>
    <w:link w:val="Heading7Char"/>
    <w:qFormat/>
    <w:rsid w:val="00081243"/>
    <w:pPr>
      <w:ind w:left="720"/>
      <w:outlineLvl w:val="6"/>
    </w:pPr>
    <w:rPr>
      <w:i/>
    </w:rPr>
  </w:style>
  <w:style w:type="paragraph" w:styleId="Heading8">
    <w:name w:val="heading 8"/>
    <w:basedOn w:val="Normal"/>
    <w:next w:val="Normal"/>
    <w:link w:val="Heading8Char"/>
    <w:qFormat/>
    <w:rsid w:val="00081243"/>
    <w:pPr>
      <w:ind w:left="720"/>
      <w:outlineLvl w:val="7"/>
    </w:pPr>
    <w:rPr>
      <w:i/>
    </w:rPr>
  </w:style>
  <w:style w:type="paragraph" w:styleId="Heading9">
    <w:name w:val="heading 9"/>
    <w:basedOn w:val="Normal"/>
    <w:next w:val="Normal"/>
    <w:link w:val="Heading9Char"/>
    <w:qFormat/>
    <w:rsid w:val="00081243"/>
    <w:pPr>
      <w:ind w:left="720"/>
      <w:outlineLvl w:val="8"/>
    </w:pPr>
    <w:rPr>
      <w:i/>
    </w:rPr>
  </w:style>
  <w:style w:type="character" w:default="1" w:styleId="DefaultParagraphFont">
    <w:name w:val="Default Paragraph Font"/>
    <w:uiPriority w:val="1"/>
    <w:unhideWhenUsed/>
    <w:rsid w:val="00081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243"/>
  </w:style>
  <w:style w:type="character" w:customStyle="1" w:styleId="Heading1Char">
    <w:name w:val="Heading 1 Char"/>
    <w:basedOn w:val="DefaultParagraphFont"/>
    <w:link w:val="Heading1"/>
    <w:rsid w:val="00081243"/>
    <w:rPr>
      <w:rFonts w:ascii="Times New Roman" w:eastAsia="Times New Roman" w:hAnsi="Times New Roman" w:cs="Times New Roman"/>
      <w:b/>
      <w:sz w:val="32"/>
      <w:szCs w:val="20"/>
      <w:lang w:eastAsia="en-US"/>
    </w:rPr>
  </w:style>
  <w:style w:type="paragraph" w:styleId="BodyText">
    <w:name w:val="Body Text"/>
    <w:basedOn w:val="Normal"/>
    <w:link w:val="BodyTextChar"/>
    <w:rsid w:val="00081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243"/>
    <w:rPr>
      <w:rFonts w:ascii="Times New Roman" w:eastAsia="Times New Roman" w:hAnsi="Times New Roman" w:cs="Times New Roman"/>
      <w:sz w:val="24"/>
      <w:lang w:eastAsia="en-US"/>
    </w:rPr>
  </w:style>
  <w:style w:type="paragraph" w:styleId="ListBullet">
    <w:name w:val="List Bullet"/>
    <w:basedOn w:val="List"/>
    <w:rsid w:val="00081243"/>
    <w:pPr>
      <w:numPr>
        <w:numId w:val="12"/>
      </w:numPr>
      <w:tabs>
        <w:tab w:val="clear" w:pos="340"/>
      </w:tabs>
      <w:spacing w:before="40" w:after="40"/>
    </w:pPr>
  </w:style>
  <w:style w:type="character" w:customStyle="1" w:styleId="SpecialBold">
    <w:name w:val="Special Bold"/>
    <w:basedOn w:val="DefaultParagraphFont"/>
    <w:rsid w:val="00081243"/>
    <w:rPr>
      <w:b/>
      <w:spacing w:val="0"/>
    </w:rPr>
  </w:style>
  <w:style w:type="paragraph" w:customStyle="1" w:styleId="SuperHeading">
    <w:name w:val="SuperHeading"/>
    <w:basedOn w:val="Normal"/>
    <w:rsid w:val="00081243"/>
    <w:pPr>
      <w:spacing w:before="240" w:after="120"/>
      <w:outlineLvl w:val="0"/>
    </w:pPr>
    <w:rPr>
      <w:rFonts w:ascii="Times New Roman" w:hAnsi="Times New Roman"/>
      <w:b/>
      <w:sz w:val="32"/>
    </w:rPr>
  </w:style>
  <w:style w:type="paragraph" w:customStyle="1" w:styleId="AllowPageBreak">
    <w:name w:val="AllowPageBreak"/>
    <w:rsid w:val="00081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81243"/>
    <w:rPr>
      <w:rFonts w:ascii="Symbol" w:hAnsi="Symbol"/>
    </w:rPr>
  </w:style>
  <w:style w:type="character" w:customStyle="1" w:styleId="Heading2Char">
    <w:name w:val="Heading 2 Char"/>
    <w:basedOn w:val="DefaultParagraphFont"/>
    <w:link w:val="Heading2"/>
    <w:rsid w:val="00081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243"/>
    <w:rPr>
      <w:rFonts w:ascii="Courier New" w:eastAsia="Times New Roman" w:hAnsi="Courier New" w:cs="Times New Roman"/>
      <w:i/>
      <w:szCs w:val="20"/>
      <w:lang w:eastAsia="en-US"/>
    </w:rPr>
  </w:style>
  <w:style w:type="paragraph" w:customStyle="1" w:styleId="HeadingBase">
    <w:name w:val="Heading Base"/>
    <w:rsid w:val="00081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243"/>
    <w:pPr>
      <w:tabs>
        <w:tab w:val="right" w:leader="dot" w:pos="9072"/>
      </w:tabs>
      <w:ind w:left="567"/>
    </w:pPr>
    <w:rPr>
      <w:szCs w:val="22"/>
    </w:rPr>
  </w:style>
  <w:style w:type="paragraph" w:customStyle="1" w:styleId="TOCBase">
    <w:name w:val="TOC Base"/>
    <w:rsid w:val="00081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243"/>
    <w:pPr>
      <w:tabs>
        <w:tab w:val="right" w:leader="dot" w:pos="9072"/>
      </w:tabs>
      <w:spacing w:before="40" w:after="40"/>
      <w:ind w:left="284"/>
    </w:pPr>
    <w:rPr>
      <w:rFonts w:ascii="Times New Roman" w:hAnsi="Times New Roman"/>
    </w:rPr>
  </w:style>
  <w:style w:type="paragraph" w:styleId="TOC1">
    <w:name w:val="toc 1"/>
    <w:basedOn w:val="TOCBase"/>
    <w:next w:val="Normal"/>
    <w:rsid w:val="00081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243"/>
    <w:rPr>
      <w:rFonts w:ascii="Times New Roman" w:eastAsia="Times New Roman" w:hAnsi="Times New Roman" w:cs="Times New Roman"/>
      <w:sz w:val="16"/>
      <w:lang w:eastAsia="en-US"/>
    </w:rPr>
  </w:style>
  <w:style w:type="paragraph" w:styleId="Title">
    <w:name w:val="Title"/>
    <w:basedOn w:val="HeadingBase"/>
    <w:link w:val="TitleChar"/>
    <w:qFormat/>
    <w:rsid w:val="00081243"/>
    <w:pPr>
      <w:spacing w:before="5040"/>
      <w:jc w:val="center"/>
    </w:pPr>
    <w:rPr>
      <w:sz w:val="48"/>
      <w:szCs w:val="72"/>
      <w:lang w:val="en-US"/>
    </w:rPr>
  </w:style>
  <w:style w:type="character" w:customStyle="1" w:styleId="TitleChar">
    <w:name w:val="Title Char"/>
    <w:basedOn w:val="DefaultParagraphFont"/>
    <w:link w:val="Title"/>
    <w:rsid w:val="00081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243"/>
    <w:pPr>
      <w:tabs>
        <w:tab w:val="left" w:pos="3600"/>
        <w:tab w:val="left" w:pos="3958"/>
      </w:tabs>
    </w:pPr>
  </w:style>
  <w:style w:type="paragraph" w:styleId="List">
    <w:name w:val="List"/>
    <w:basedOn w:val="BodyText"/>
    <w:next w:val="BodyText"/>
    <w:rsid w:val="00081243"/>
    <w:pPr>
      <w:tabs>
        <w:tab w:val="left" w:pos="340"/>
      </w:tabs>
      <w:spacing w:before="60" w:after="60"/>
      <w:ind w:left="340" w:hanging="340"/>
    </w:pPr>
  </w:style>
  <w:style w:type="paragraph" w:customStyle="1" w:styleId="Note">
    <w:name w:val="Note"/>
    <w:basedOn w:val="BodyText"/>
    <w:rsid w:val="00081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243"/>
    <w:pPr>
      <w:framePr w:wrap="auto" w:hAnchor="text" w:y="6049"/>
    </w:pPr>
    <w:rPr>
      <w:color w:val="000000"/>
      <w:sz w:val="40"/>
    </w:rPr>
  </w:style>
  <w:style w:type="paragraph" w:customStyle="1" w:styleId="TOCTitle">
    <w:name w:val="TOCTitle"/>
    <w:basedOn w:val="Heading1"/>
    <w:rsid w:val="00081243"/>
    <w:pPr>
      <w:spacing w:after="240"/>
      <w:jc w:val="center"/>
      <w:outlineLvl w:val="9"/>
    </w:pPr>
    <w:rPr>
      <w:caps/>
    </w:rPr>
  </w:style>
  <w:style w:type="paragraph" w:customStyle="1" w:styleId="Version">
    <w:name w:val="Version"/>
    <w:rsid w:val="00081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243"/>
    <w:pPr>
      <w:numPr>
        <w:numId w:val="13"/>
      </w:numPr>
      <w:tabs>
        <w:tab w:val="clear" w:pos="680"/>
      </w:tabs>
    </w:pPr>
  </w:style>
  <w:style w:type="paragraph" w:styleId="Index1">
    <w:name w:val="index 1"/>
    <w:basedOn w:val="Normal"/>
    <w:next w:val="Normal"/>
    <w:semiHidden/>
    <w:rsid w:val="00081243"/>
    <w:pPr>
      <w:keepNext w:val="0"/>
      <w:tabs>
        <w:tab w:val="right" w:pos="4176"/>
      </w:tabs>
      <w:ind w:left="198" w:hanging="198"/>
    </w:pPr>
    <w:rPr>
      <w:rFonts w:ascii="Garamond" w:hAnsi="Garamond"/>
    </w:rPr>
  </w:style>
  <w:style w:type="paragraph" w:styleId="IndexHeading">
    <w:name w:val="index heading"/>
    <w:basedOn w:val="Normal"/>
    <w:next w:val="Index1"/>
    <w:semiHidden/>
    <w:rsid w:val="00081243"/>
    <w:pPr>
      <w:spacing w:before="120" w:after="120"/>
    </w:pPr>
    <w:rPr>
      <w:rFonts w:ascii="Arial" w:hAnsi="Arial"/>
      <w:b/>
      <w:color w:val="918585"/>
      <w:sz w:val="24"/>
    </w:rPr>
  </w:style>
  <w:style w:type="paragraph" w:styleId="Header">
    <w:name w:val="header"/>
    <w:basedOn w:val="Normal"/>
    <w:link w:val="HeaderChar"/>
    <w:rsid w:val="00081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243"/>
    <w:rPr>
      <w:rFonts w:ascii="Times New Roman" w:eastAsia="Times New Roman" w:hAnsi="Times New Roman" w:cs="Times New Roman"/>
      <w:sz w:val="16"/>
      <w:szCs w:val="20"/>
      <w:lang w:val="en-GB" w:eastAsia="en-US"/>
    </w:rPr>
  </w:style>
  <w:style w:type="paragraph" w:customStyle="1" w:styleId="Chapter">
    <w:name w:val="Chapter"/>
    <w:basedOn w:val="Normal"/>
    <w:rsid w:val="00081243"/>
    <w:pPr>
      <w:spacing w:before="240"/>
    </w:pPr>
    <w:rPr>
      <w:rFonts w:ascii="Times New Roman" w:hAnsi="Times New Roman"/>
      <w:smallCaps/>
      <w:spacing w:val="80"/>
      <w:sz w:val="28"/>
    </w:rPr>
  </w:style>
  <w:style w:type="paragraph" w:customStyle="1" w:styleId="InChapter">
    <w:name w:val="InChapter"/>
    <w:basedOn w:val="Heading3"/>
    <w:rsid w:val="00081243"/>
    <w:pPr>
      <w:spacing w:after="240"/>
      <w:outlineLvl w:val="9"/>
    </w:pPr>
    <w:rPr>
      <w:noProof/>
    </w:rPr>
  </w:style>
  <w:style w:type="paragraph" w:styleId="Index2">
    <w:name w:val="index 2"/>
    <w:basedOn w:val="Normal"/>
    <w:next w:val="Normal"/>
    <w:semiHidden/>
    <w:rsid w:val="00081243"/>
    <w:pPr>
      <w:tabs>
        <w:tab w:val="right" w:pos="4176"/>
      </w:tabs>
      <w:ind w:left="568" w:hanging="284"/>
    </w:pPr>
    <w:rPr>
      <w:rFonts w:ascii="Garamond" w:hAnsi="Garamond"/>
    </w:rPr>
  </w:style>
  <w:style w:type="paragraph" w:customStyle="1" w:styleId="Byline">
    <w:name w:val="Byline"/>
    <w:rsid w:val="00081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243"/>
    <w:pPr>
      <w:tabs>
        <w:tab w:val="clear" w:pos="3600"/>
        <w:tab w:val="clear" w:pos="3958"/>
      </w:tabs>
      <w:jc w:val="right"/>
    </w:pPr>
  </w:style>
  <w:style w:type="character" w:styleId="Emphasis">
    <w:name w:val="Emphasis"/>
    <w:basedOn w:val="DefaultParagraphFont"/>
    <w:qFormat/>
    <w:rsid w:val="00081243"/>
    <w:rPr>
      <w:i/>
    </w:rPr>
  </w:style>
  <w:style w:type="paragraph" w:styleId="Caption">
    <w:name w:val="caption"/>
    <w:basedOn w:val="BodyText"/>
    <w:next w:val="Normal"/>
    <w:qFormat/>
    <w:rsid w:val="00081243"/>
    <w:pPr>
      <w:framePr w:w="2268" w:hSpace="181" w:vSpace="181" w:wrap="around" w:vAnchor="text" w:hAnchor="page" w:x="1135" w:y="285" w:anchorLock="1"/>
    </w:pPr>
    <w:rPr>
      <w:i/>
    </w:rPr>
  </w:style>
  <w:style w:type="paragraph" w:customStyle="1" w:styleId="MiniTOCTitle">
    <w:name w:val="MiniTOCTitle"/>
    <w:basedOn w:val="Heading4"/>
    <w:rsid w:val="00081243"/>
    <w:pPr>
      <w:spacing w:before="240"/>
      <w:outlineLvl w:val="9"/>
    </w:pPr>
    <w:rPr>
      <w:noProof/>
      <w:sz w:val="24"/>
    </w:rPr>
  </w:style>
  <w:style w:type="paragraph" w:customStyle="1" w:styleId="MiniTOCItem">
    <w:name w:val="MiniTOCItem"/>
    <w:basedOn w:val="ListBullet"/>
    <w:rsid w:val="00081243"/>
    <w:pPr>
      <w:numPr>
        <w:numId w:val="0"/>
      </w:numPr>
      <w:tabs>
        <w:tab w:val="right" w:leader="dot" w:pos="6521"/>
      </w:tabs>
      <w:spacing w:before="0" w:after="0"/>
    </w:pPr>
  </w:style>
  <w:style w:type="paragraph" w:customStyle="1" w:styleId="TOFTitle">
    <w:name w:val="TOFTitle"/>
    <w:basedOn w:val="TOCTitle"/>
    <w:rsid w:val="00081243"/>
  </w:style>
  <w:style w:type="paragraph" w:styleId="TableofFigures">
    <w:name w:val="table of figures"/>
    <w:basedOn w:val="Normal"/>
    <w:next w:val="Normal"/>
    <w:semiHidden/>
    <w:rsid w:val="00081243"/>
    <w:pPr>
      <w:tabs>
        <w:tab w:val="right" w:leader="dot" w:pos="9072"/>
      </w:tabs>
      <w:ind w:left="970" w:hanging="403"/>
    </w:pPr>
    <w:rPr>
      <w:rFonts w:ascii="Times New Roman" w:hAnsi="Times New Roman"/>
      <w:b/>
    </w:rPr>
  </w:style>
  <w:style w:type="paragraph" w:styleId="ListNumber">
    <w:name w:val="List Number"/>
    <w:basedOn w:val="List"/>
    <w:rsid w:val="00081243"/>
    <w:pPr>
      <w:numPr>
        <w:numId w:val="10"/>
      </w:numPr>
    </w:pPr>
  </w:style>
  <w:style w:type="character" w:customStyle="1" w:styleId="WingdingSymbols">
    <w:name w:val="Wingding Symbols"/>
    <w:rsid w:val="00081243"/>
    <w:rPr>
      <w:rFonts w:ascii="Wingdings" w:hAnsi="Wingdings"/>
    </w:rPr>
  </w:style>
  <w:style w:type="paragraph" w:customStyle="1" w:styleId="TableHeading">
    <w:name w:val="Table Heading"/>
    <w:basedOn w:val="HeadingBase"/>
    <w:rsid w:val="00081243"/>
    <w:pPr>
      <w:keepLines/>
      <w:pBdr>
        <w:bottom w:val="single" w:sz="6" w:space="1" w:color="918585"/>
      </w:pBdr>
      <w:spacing w:before="240"/>
    </w:pPr>
  </w:style>
  <w:style w:type="character" w:customStyle="1" w:styleId="HotSpot">
    <w:name w:val="HotSpot"/>
    <w:rsid w:val="00081243"/>
    <w:rPr>
      <w:color w:val="0033CC"/>
      <w:u w:val="none"/>
    </w:rPr>
  </w:style>
  <w:style w:type="paragraph" w:customStyle="1" w:styleId="BodyTextRight">
    <w:name w:val="Body Text Right"/>
    <w:basedOn w:val="BodyText"/>
    <w:rsid w:val="00081243"/>
    <w:pPr>
      <w:spacing w:before="0" w:after="0"/>
      <w:jc w:val="right"/>
    </w:pPr>
  </w:style>
  <w:style w:type="paragraph" w:styleId="Index3">
    <w:name w:val="index 3"/>
    <w:basedOn w:val="ListNumber2"/>
    <w:next w:val="Normal"/>
    <w:semiHidden/>
    <w:rsid w:val="00081243"/>
    <w:pPr>
      <w:numPr>
        <w:numId w:val="0"/>
      </w:numPr>
      <w:tabs>
        <w:tab w:val="right" w:leader="dot" w:pos="4176"/>
      </w:tabs>
    </w:pPr>
  </w:style>
  <w:style w:type="paragraph" w:styleId="ListNumber2">
    <w:name w:val="List Number 2"/>
    <w:basedOn w:val="List2"/>
    <w:rsid w:val="00081243"/>
    <w:pPr>
      <w:numPr>
        <w:numId w:val="9"/>
      </w:numPr>
      <w:tabs>
        <w:tab w:val="clear" w:pos="1060"/>
      </w:tabs>
    </w:pPr>
  </w:style>
  <w:style w:type="paragraph" w:customStyle="1" w:styleId="MarginNote">
    <w:name w:val="Margin Note"/>
    <w:basedOn w:val="BodyText"/>
    <w:rsid w:val="00081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243"/>
    <w:rPr>
      <w:sz w:val="32"/>
    </w:rPr>
  </w:style>
  <w:style w:type="paragraph" w:customStyle="1" w:styleId="HeadingProcedure">
    <w:name w:val="Heading Procedure"/>
    <w:basedOn w:val="HeadingBase"/>
    <w:next w:val="Normal"/>
    <w:rsid w:val="00081243"/>
    <w:pPr>
      <w:tabs>
        <w:tab w:val="left" w:pos="0"/>
      </w:tabs>
      <w:spacing w:before="120" w:after="60"/>
    </w:pPr>
    <w:rPr>
      <w:i/>
      <w:color w:val="918585"/>
      <w:sz w:val="22"/>
    </w:rPr>
  </w:style>
  <w:style w:type="paragraph" w:customStyle="1" w:styleId="TableBodyText">
    <w:name w:val="Table Body Text"/>
    <w:basedOn w:val="BodyText"/>
    <w:rsid w:val="00081243"/>
    <w:pPr>
      <w:spacing w:before="60" w:after="60"/>
    </w:pPr>
  </w:style>
  <w:style w:type="paragraph" w:styleId="ListContinue">
    <w:name w:val="List Continue"/>
    <w:basedOn w:val="List"/>
    <w:rsid w:val="00081243"/>
    <w:pPr>
      <w:ind w:firstLine="0"/>
    </w:pPr>
  </w:style>
  <w:style w:type="paragraph" w:customStyle="1" w:styleId="ListNote">
    <w:name w:val="List Note"/>
    <w:basedOn w:val="List"/>
    <w:rsid w:val="00081243"/>
    <w:pPr>
      <w:pBdr>
        <w:top w:val="single" w:sz="6" w:space="2" w:color="918585"/>
        <w:bottom w:val="single" w:sz="6" w:space="2" w:color="918585"/>
      </w:pBdr>
      <w:tabs>
        <w:tab w:val="left" w:pos="1021"/>
      </w:tabs>
      <w:ind w:firstLine="0"/>
    </w:pPr>
  </w:style>
  <w:style w:type="paragraph" w:customStyle="1" w:styleId="Warning">
    <w:name w:val="Warning"/>
    <w:basedOn w:val="BodyText"/>
    <w:rsid w:val="00081243"/>
    <w:pPr>
      <w:shd w:val="clear" w:color="auto" w:fill="D9D9D9"/>
      <w:tabs>
        <w:tab w:val="left" w:pos="992"/>
      </w:tabs>
      <w:ind w:left="119" w:right="119"/>
    </w:pPr>
    <w:rPr>
      <w:sz w:val="20"/>
    </w:rPr>
  </w:style>
  <w:style w:type="paragraph" w:customStyle="1" w:styleId="MarginIcons">
    <w:name w:val="Margin Icons"/>
    <w:basedOn w:val="BodyText"/>
    <w:rsid w:val="00081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243"/>
    <w:rPr>
      <w:rFonts w:ascii="Courier New" w:hAnsi="Courier New"/>
    </w:rPr>
  </w:style>
  <w:style w:type="paragraph" w:customStyle="1" w:styleId="NoteBullet">
    <w:name w:val="Note Bullet"/>
    <w:basedOn w:val="Note"/>
    <w:rsid w:val="00081243"/>
    <w:pPr>
      <w:tabs>
        <w:tab w:val="clear" w:pos="680"/>
      </w:tabs>
      <w:spacing w:before="60" w:after="60"/>
    </w:pPr>
  </w:style>
  <w:style w:type="paragraph" w:customStyle="1" w:styleId="SubHeading2">
    <w:name w:val="SubHeading2"/>
    <w:basedOn w:val="HeadingBase"/>
    <w:rsid w:val="00081243"/>
    <w:pPr>
      <w:spacing w:before="240" w:after="60"/>
    </w:pPr>
    <w:rPr>
      <w:sz w:val="20"/>
    </w:rPr>
  </w:style>
  <w:style w:type="paragraph" w:customStyle="1" w:styleId="SubHeading1">
    <w:name w:val="SubHeading1"/>
    <w:basedOn w:val="HeadingBase"/>
    <w:rsid w:val="00081243"/>
    <w:pPr>
      <w:spacing w:before="240" w:after="60"/>
    </w:pPr>
    <w:rPr>
      <w:color w:val="918585"/>
      <w:sz w:val="22"/>
    </w:rPr>
  </w:style>
  <w:style w:type="paragraph" w:customStyle="1" w:styleId="SideHeading">
    <w:name w:val="Side Heading"/>
    <w:basedOn w:val="HeadingBase"/>
    <w:rsid w:val="00081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243"/>
    <w:pPr>
      <w:tabs>
        <w:tab w:val="num" w:pos="360"/>
      </w:tabs>
    </w:pPr>
  </w:style>
  <w:style w:type="paragraph" w:styleId="PlainText">
    <w:name w:val="Plain Text"/>
    <w:basedOn w:val="Normal"/>
    <w:link w:val="PlainTextChar"/>
    <w:rsid w:val="00081243"/>
    <w:rPr>
      <w:sz w:val="20"/>
    </w:rPr>
  </w:style>
  <w:style w:type="character" w:customStyle="1" w:styleId="PlainTextChar">
    <w:name w:val="Plain Text Char"/>
    <w:basedOn w:val="DefaultParagraphFont"/>
    <w:link w:val="PlainText"/>
    <w:rsid w:val="00081243"/>
    <w:rPr>
      <w:rFonts w:ascii="Courier New" w:eastAsia="Times New Roman" w:hAnsi="Courier New" w:cs="Times New Roman"/>
      <w:sz w:val="20"/>
      <w:szCs w:val="20"/>
      <w:lang w:eastAsia="en-US"/>
    </w:rPr>
  </w:style>
  <w:style w:type="character" w:customStyle="1" w:styleId="MenuOption">
    <w:name w:val="Menu Option"/>
    <w:basedOn w:val="DefaultParagraphFont"/>
    <w:rsid w:val="00081243"/>
    <w:rPr>
      <w:b/>
      <w:smallCaps/>
    </w:rPr>
  </w:style>
  <w:style w:type="paragraph" w:customStyle="1" w:styleId="TableListNumber">
    <w:name w:val="Table List Number"/>
    <w:basedOn w:val="ListNumber"/>
    <w:rsid w:val="00081243"/>
    <w:pPr>
      <w:numPr>
        <w:numId w:val="0"/>
      </w:numPr>
    </w:pPr>
  </w:style>
  <w:style w:type="paragraph" w:styleId="TOC4">
    <w:name w:val="toc 4"/>
    <w:basedOn w:val="TOCBase"/>
    <w:next w:val="Normal"/>
    <w:semiHidden/>
    <w:rsid w:val="00081243"/>
    <w:pPr>
      <w:tabs>
        <w:tab w:val="right" w:leader="dot" w:pos="9071"/>
      </w:tabs>
      <w:ind w:left="1701"/>
    </w:pPr>
  </w:style>
  <w:style w:type="paragraph" w:customStyle="1" w:styleId="ListAlpha">
    <w:name w:val="List Alpha"/>
    <w:basedOn w:val="List"/>
    <w:rsid w:val="00081243"/>
    <w:pPr>
      <w:numPr>
        <w:numId w:val="8"/>
      </w:numPr>
    </w:pPr>
  </w:style>
  <w:style w:type="paragraph" w:customStyle="1" w:styleId="ListAlpha2">
    <w:name w:val="List Alpha 2"/>
    <w:basedOn w:val="List2"/>
    <w:rsid w:val="00081243"/>
    <w:pPr>
      <w:numPr>
        <w:numId w:val="7"/>
      </w:numPr>
    </w:pPr>
  </w:style>
  <w:style w:type="paragraph" w:styleId="List2">
    <w:name w:val="List 2"/>
    <w:basedOn w:val="BodyText"/>
    <w:rsid w:val="00081243"/>
    <w:pPr>
      <w:tabs>
        <w:tab w:val="left" w:pos="680"/>
      </w:tabs>
      <w:spacing w:before="60" w:after="60"/>
      <w:ind w:left="680" w:hanging="340"/>
    </w:pPr>
  </w:style>
  <w:style w:type="paragraph" w:styleId="List3">
    <w:name w:val="List 3"/>
    <w:basedOn w:val="BodyText"/>
    <w:rsid w:val="00081243"/>
    <w:pPr>
      <w:tabs>
        <w:tab w:val="left" w:pos="1021"/>
      </w:tabs>
      <w:spacing w:before="60" w:after="60"/>
      <w:ind w:left="1020" w:hanging="340"/>
    </w:pPr>
  </w:style>
  <w:style w:type="paragraph" w:styleId="List4">
    <w:name w:val="List 4"/>
    <w:basedOn w:val="BodyText"/>
    <w:rsid w:val="00081243"/>
    <w:pPr>
      <w:tabs>
        <w:tab w:val="left" w:pos="1361"/>
      </w:tabs>
      <w:spacing w:before="60" w:after="60"/>
      <w:ind w:left="1361" w:hanging="340"/>
    </w:pPr>
  </w:style>
  <w:style w:type="paragraph" w:styleId="List5">
    <w:name w:val="List 5"/>
    <w:basedOn w:val="BodyText"/>
    <w:rsid w:val="00081243"/>
    <w:pPr>
      <w:tabs>
        <w:tab w:val="left" w:pos="1701"/>
      </w:tabs>
      <w:spacing w:before="60" w:after="60"/>
      <w:ind w:left="1701" w:hanging="340"/>
    </w:pPr>
  </w:style>
  <w:style w:type="paragraph" w:styleId="ListBullet3">
    <w:name w:val="List Bullet 3"/>
    <w:basedOn w:val="List3"/>
    <w:rsid w:val="00081243"/>
    <w:pPr>
      <w:numPr>
        <w:numId w:val="14"/>
      </w:numPr>
      <w:tabs>
        <w:tab w:val="clear" w:pos="1021"/>
      </w:tabs>
      <w:ind w:left="1037" w:hanging="357"/>
    </w:pPr>
  </w:style>
  <w:style w:type="paragraph" w:styleId="ListBullet4">
    <w:name w:val="List Bullet 4"/>
    <w:basedOn w:val="List4"/>
    <w:rsid w:val="00081243"/>
    <w:pPr>
      <w:numPr>
        <w:numId w:val="2"/>
      </w:numPr>
      <w:tabs>
        <w:tab w:val="clear" w:pos="1361"/>
      </w:tabs>
    </w:pPr>
  </w:style>
  <w:style w:type="paragraph" w:styleId="ListBullet5">
    <w:name w:val="List Bullet 5"/>
    <w:basedOn w:val="List5"/>
    <w:rsid w:val="00081243"/>
    <w:pPr>
      <w:numPr>
        <w:numId w:val="3"/>
      </w:numPr>
    </w:pPr>
  </w:style>
  <w:style w:type="paragraph" w:styleId="ListContinue2">
    <w:name w:val="List Continue 2"/>
    <w:basedOn w:val="List2"/>
    <w:rsid w:val="00081243"/>
    <w:pPr>
      <w:ind w:firstLine="0"/>
    </w:pPr>
  </w:style>
  <w:style w:type="paragraph" w:styleId="ListContinue3">
    <w:name w:val="List Continue 3"/>
    <w:basedOn w:val="List3"/>
    <w:rsid w:val="00081243"/>
    <w:pPr>
      <w:ind w:left="1021" w:firstLine="0"/>
    </w:pPr>
  </w:style>
  <w:style w:type="paragraph" w:styleId="ListContinue4">
    <w:name w:val="List Continue 4"/>
    <w:basedOn w:val="List4"/>
    <w:rsid w:val="00081243"/>
    <w:pPr>
      <w:ind w:firstLine="0"/>
    </w:pPr>
  </w:style>
  <w:style w:type="paragraph" w:styleId="ListContinue5">
    <w:name w:val="List Continue 5"/>
    <w:basedOn w:val="List5"/>
    <w:rsid w:val="00081243"/>
    <w:pPr>
      <w:ind w:firstLine="0"/>
    </w:pPr>
  </w:style>
  <w:style w:type="paragraph" w:styleId="ListNumber3">
    <w:name w:val="List Number 3"/>
    <w:basedOn w:val="List3"/>
    <w:rsid w:val="00081243"/>
    <w:pPr>
      <w:numPr>
        <w:numId w:val="4"/>
      </w:numPr>
    </w:pPr>
  </w:style>
  <w:style w:type="paragraph" w:styleId="ListNumber4">
    <w:name w:val="List Number 4"/>
    <w:basedOn w:val="List4"/>
    <w:rsid w:val="00081243"/>
    <w:pPr>
      <w:numPr>
        <w:numId w:val="5"/>
      </w:numPr>
    </w:pPr>
  </w:style>
  <w:style w:type="paragraph" w:styleId="ListNumber5">
    <w:name w:val="List Number 5"/>
    <w:basedOn w:val="List5"/>
    <w:rsid w:val="00081243"/>
    <w:pPr>
      <w:numPr>
        <w:numId w:val="6"/>
      </w:numPr>
    </w:pPr>
  </w:style>
  <w:style w:type="paragraph" w:styleId="BlockText">
    <w:name w:val="Block Text"/>
    <w:basedOn w:val="Normal"/>
    <w:rsid w:val="00081243"/>
    <w:pPr>
      <w:spacing w:after="120"/>
      <w:ind w:left="1440" w:right="1440"/>
    </w:pPr>
  </w:style>
  <w:style w:type="character" w:customStyle="1" w:styleId="Subscript">
    <w:name w:val="Subscript"/>
    <w:basedOn w:val="DefaultParagraphFont"/>
    <w:rsid w:val="00081243"/>
    <w:rPr>
      <w:sz w:val="16"/>
      <w:vertAlign w:val="subscript"/>
    </w:rPr>
  </w:style>
  <w:style w:type="character" w:customStyle="1" w:styleId="Superscript">
    <w:name w:val="Superscript"/>
    <w:basedOn w:val="DefaultParagraphFont"/>
    <w:rsid w:val="00081243"/>
    <w:rPr>
      <w:sz w:val="16"/>
      <w:vertAlign w:val="superscript"/>
    </w:rPr>
  </w:style>
  <w:style w:type="character" w:customStyle="1" w:styleId="MenuOptions">
    <w:name w:val="Menu Options"/>
    <w:basedOn w:val="DefaultParagraphFont"/>
    <w:rsid w:val="00081243"/>
    <w:rPr>
      <w:rFonts w:ascii="Arial Narrow" w:hAnsi="Arial Narrow"/>
      <w:smallCaps/>
    </w:rPr>
  </w:style>
  <w:style w:type="character" w:customStyle="1" w:styleId="Buttons">
    <w:name w:val="Buttons"/>
    <w:basedOn w:val="DefaultParagraphFont"/>
    <w:rsid w:val="00081243"/>
    <w:rPr>
      <w:b/>
    </w:rPr>
  </w:style>
  <w:style w:type="character" w:customStyle="1" w:styleId="Underlined">
    <w:name w:val="Underlined"/>
    <w:basedOn w:val="DefaultParagraphFont"/>
    <w:rsid w:val="00081243"/>
    <w:rPr>
      <w:u w:val="single"/>
    </w:rPr>
  </w:style>
  <w:style w:type="paragraph" w:customStyle="1" w:styleId="TableBodyTextRight">
    <w:name w:val="Table Body Text Right"/>
    <w:basedOn w:val="TableBodyText"/>
    <w:rsid w:val="00081243"/>
    <w:pPr>
      <w:widowControl w:val="0"/>
      <w:autoSpaceDE w:val="0"/>
      <w:autoSpaceDN w:val="0"/>
      <w:adjustRightInd w:val="0"/>
      <w:jc w:val="right"/>
    </w:pPr>
    <w:rPr>
      <w:rFonts w:cs="Arial"/>
      <w:szCs w:val="18"/>
    </w:rPr>
  </w:style>
  <w:style w:type="paragraph" w:customStyle="1" w:styleId="CopyrightText">
    <w:name w:val="Copyright Text"/>
    <w:basedOn w:val="BodyText"/>
    <w:rsid w:val="00081243"/>
    <w:rPr>
      <w:sz w:val="18"/>
    </w:rPr>
  </w:style>
  <w:style w:type="paragraph" w:customStyle="1" w:styleId="BodySmallRight">
    <w:name w:val="Body Small Right"/>
    <w:basedOn w:val="BodyTextRight"/>
    <w:rsid w:val="00081243"/>
    <w:rPr>
      <w:sz w:val="18"/>
      <w:szCs w:val="18"/>
    </w:rPr>
  </w:style>
  <w:style w:type="paragraph" w:customStyle="1" w:styleId="MarginEdition">
    <w:name w:val="Margin Edition"/>
    <w:basedOn w:val="MarginNote"/>
    <w:rsid w:val="00081243"/>
    <w:pPr>
      <w:spacing w:before="0" w:after="0"/>
    </w:pPr>
    <w:rPr>
      <w:rFonts w:ascii="Times New Roman" w:hAnsi="Times New Roman"/>
      <w:color w:val="999999"/>
    </w:rPr>
  </w:style>
  <w:style w:type="paragraph" w:customStyle="1" w:styleId="Spacer">
    <w:name w:val="Spacer"/>
    <w:basedOn w:val="Normal"/>
    <w:rsid w:val="00081243"/>
    <w:rPr>
      <w:sz w:val="2"/>
      <w:szCs w:val="2"/>
    </w:rPr>
  </w:style>
  <w:style w:type="character" w:customStyle="1" w:styleId="Small">
    <w:name w:val="Small"/>
    <w:basedOn w:val="DefaultParagraphFont"/>
    <w:rsid w:val="00081243"/>
    <w:rPr>
      <w:sz w:val="16"/>
    </w:rPr>
  </w:style>
  <w:style w:type="paragraph" w:customStyle="1" w:styleId="WideTable">
    <w:name w:val="Wide Table"/>
    <w:basedOn w:val="Normal"/>
    <w:rsid w:val="00081243"/>
    <w:pPr>
      <w:ind w:left="-1418"/>
    </w:pPr>
    <w:rPr>
      <w:sz w:val="2"/>
      <w:szCs w:val="2"/>
    </w:rPr>
  </w:style>
  <w:style w:type="character" w:styleId="PageNumber">
    <w:name w:val="page number"/>
    <w:basedOn w:val="DefaultParagraphFont"/>
    <w:rsid w:val="00081243"/>
  </w:style>
  <w:style w:type="paragraph" w:styleId="Quote">
    <w:name w:val="Quote"/>
    <w:basedOn w:val="Heading1"/>
    <w:link w:val="QuoteChar"/>
    <w:qFormat/>
    <w:rsid w:val="00081243"/>
    <w:rPr>
      <w:b w:val="0"/>
      <w:sz w:val="72"/>
      <w:szCs w:val="72"/>
      <w:lang w:val="en-NZ"/>
    </w:rPr>
  </w:style>
  <w:style w:type="character" w:customStyle="1" w:styleId="QuoteChar">
    <w:name w:val="Quote Char"/>
    <w:basedOn w:val="DefaultParagraphFont"/>
    <w:link w:val="Quote"/>
    <w:rsid w:val="00081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243"/>
    <w:pPr>
      <w:pageBreakBefore/>
    </w:pPr>
  </w:style>
  <w:style w:type="paragraph" w:customStyle="1" w:styleId="Border">
    <w:name w:val="Border"/>
    <w:basedOn w:val="Normal"/>
    <w:qFormat/>
    <w:rsid w:val="00081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243"/>
    <w:rPr>
      <w:b/>
      <w:bCs/>
      <w:i/>
      <w:iCs/>
      <w:color w:val="auto"/>
    </w:rPr>
  </w:style>
  <w:style w:type="paragraph" w:styleId="IntenseQuote">
    <w:name w:val="Intense Quote"/>
    <w:basedOn w:val="Normal"/>
    <w:next w:val="Normal"/>
    <w:link w:val="IntenseQuoteChar"/>
    <w:uiPriority w:val="30"/>
    <w:qFormat/>
    <w:rsid w:val="00081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243"/>
    <w:rPr>
      <w:smallCaps/>
      <w:color w:val="auto"/>
      <w:u w:val="single"/>
    </w:rPr>
  </w:style>
  <w:style w:type="character" w:styleId="IntenseReference">
    <w:name w:val="Intense Reference"/>
    <w:basedOn w:val="DefaultParagraphFont"/>
    <w:uiPriority w:val="32"/>
    <w:qFormat/>
    <w:rsid w:val="00081243"/>
    <w:rPr>
      <w:b/>
      <w:bCs/>
      <w:smallCaps/>
      <w:color w:val="auto"/>
      <w:spacing w:val="5"/>
      <w:u w:val="single"/>
    </w:rPr>
  </w:style>
  <w:style w:type="paragraph" w:customStyle="1" w:styleId="2ColumnHeading">
    <w:name w:val="2Column Heading"/>
    <w:basedOn w:val="BodyText"/>
    <w:qFormat/>
    <w:rsid w:val="00081243"/>
    <w:pPr>
      <w:spacing w:after="60"/>
      <w:ind w:left="-2268"/>
    </w:pPr>
    <w:rPr>
      <w:b/>
    </w:rPr>
  </w:style>
  <w:style w:type="paragraph" w:customStyle="1" w:styleId="Heading1TOC">
    <w:name w:val="Heading1 TOC"/>
    <w:basedOn w:val="Normal"/>
    <w:qFormat/>
    <w:rsid w:val="00081243"/>
    <w:pPr>
      <w:spacing w:before="240" w:after="120"/>
    </w:pPr>
    <w:rPr>
      <w:rFonts w:ascii="Times New Roman" w:hAnsi="Times New Roman"/>
      <w:b/>
      <w:sz w:val="32"/>
    </w:rPr>
  </w:style>
  <w:style w:type="paragraph" w:customStyle="1" w:styleId="Heading2TOC">
    <w:name w:val="Heading2 TOC"/>
    <w:basedOn w:val="Normal"/>
    <w:qFormat/>
    <w:rsid w:val="00081243"/>
    <w:pPr>
      <w:spacing w:before="240" w:after="60"/>
    </w:pPr>
    <w:rPr>
      <w:rFonts w:ascii="Times New Roman" w:hAnsi="Times New Roman"/>
      <w:b/>
      <w:sz w:val="28"/>
    </w:rPr>
  </w:style>
  <w:style w:type="character" w:customStyle="1" w:styleId="Underline">
    <w:name w:val="Underline"/>
    <w:basedOn w:val="DefaultParagraphFont"/>
    <w:qFormat/>
    <w:rsid w:val="00081243"/>
    <w:rPr>
      <w:u w:val="single"/>
    </w:rPr>
  </w:style>
  <w:style w:type="character" w:customStyle="1" w:styleId="BoldandItalics">
    <w:name w:val="Bold and Italics"/>
    <w:qFormat/>
    <w:rsid w:val="00081243"/>
    <w:rPr>
      <w:b/>
      <w:i/>
      <w:u w:val="none"/>
    </w:rPr>
  </w:style>
  <w:style w:type="paragraph" w:styleId="BalloonText">
    <w:name w:val="Balloon Text"/>
    <w:basedOn w:val="Normal"/>
    <w:link w:val="BalloonTextChar"/>
    <w:rsid w:val="00081243"/>
    <w:rPr>
      <w:rFonts w:ascii="Tahoma" w:hAnsi="Tahoma" w:cs="Tahoma"/>
      <w:sz w:val="16"/>
      <w:szCs w:val="16"/>
    </w:rPr>
  </w:style>
  <w:style w:type="character" w:customStyle="1" w:styleId="BalloonTextChar">
    <w:name w:val="Balloon Text Char"/>
    <w:basedOn w:val="DefaultParagraphFont"/>
    <w:link w:val="BalloonText"/>
    <w:rsid w:val="00081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243"/>
    <w:rPr>
      <w:b/>
      <w:color w:val="660033"/>
      <w:spacing w:val="0"/>
    </w:rPr>
  </w:style>
  <w:style w:type="paragraph" w:customStyle="1" w:styleId="Nameditemlist">
    <w:name w:val="Named item list"/>
    <w:basedOn w:val="BodyText"/>
    <w:qFormat/>
    <w:rsid w:val="00081243"/>
    <w:pPr>
      <w:tabs>
        <w:tab w:val="left" w:pos="2835"/>
      </w:tabs>
      <w:ind w:left="2835" w:hanging="2835"/>
    </w:pPr>
  </w:style>
  <w:style w:type="paragraph" w:customStyle="1" w:styleId="BodyTextnopadding">
    <w:name w:val="Body Text no padding"/>
    <w:basedOn w:val="BodyText"/>
    <w:qFormat/>
    <w:rsid w:val="00081243"/>
    <w:pPr>
      <w:spacing w:before="0" w:after="0"/>
    </w:pPr>
  </w:style>
  <w:style w:type="character" w:styleId="Hyperlink">
    <w:name w:val="Hyperlink"/>
    <w:basedOn w:val="DefaultParagraphFont"/>
    <w:uiPriority w:val="99"/>
    <w:unhideWhenUsed/>
    <w:rsid w:val="00541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5991</Characters>
  <Application>Microsoft Office Word</Application>
  <DocSecurity>0</DocSecurity>
  <Lines>249</Lines>
  <Paragraphs>125</Paragraphs>
  <ScaleCrop>false</ScaleCrop>
  <Company>Author-it Software Corporation Ltd.</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MSL973004 Perform aseptic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2018-12-11T02:36:00Z</dcterms:created>
  <dcterms:modified xsi:type="dcterms:W3CDTF">2018-12-11T02:36:00Z</dcterms:modified>
</cp:coreProperties>
</file>