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366" w:rsidP="001F1366">
      <w:pPr>
        <w:pStyle w:val="Title"/>
      </w:pPr>
      <w:r>
        <w:fldChar w:fldCharType="begin"/>
      </w:r>
      <w:r>
        <w:instrText xml:space="preserve"> TITLE   \* MERGEFORMAT </w:instrText>
      </w:r>
      <w:r>
        <w:fldChar w:fldCharType="separate"/>
      </w:r>
      <w:r>
        <w:t>Assessment Requirements for MSL973004 Perform aseptic techniques</w:t>
      </w:r>
      <w:r>
        <w:fldChar w:fldCharType="end"/>
      </w:r>
    </w:p>
    <w:p w:rsidR="001F1366" w:rsidP="001F1366">
      <w:pPr>
        <w:pStyle w:val="Version"/>
        <w:sectPr w:rsidSect="00FB34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4A8" w:rsidP="00FB34A8">
      <w:pPr>
        <w:pStyle w:val="SuperHeading"/>
      </w:pPr>
      <w:r w:rsidRPr="00FB34A8">
        <w:t>Assessment Requirements for MSL973004 Perform aseptic techniques</w:t>
      </w:r>
    </w:p>
    <w:p w:rsidR="00000000" w:rsidRPr="00FB34A8" w:rsidP="00FB34A8">
      <w:pPr>
        <w:pStyle w:val="Heading1"/>
      </w:pPr>
      <w:bookmarkStart w:id="1" w:name="O_890449"/>
      <w:bookmarkEnd w:id="1"/>
      <w:r w:rsidRPr="00FB34A8">
        <w:t>Modification History</w:t>
      </w:r>
    </w:p>
    <w:p w:rsidR="00000000" w:rsidRPr="00FB34A8" w:rsidP="001F1366">
      <w:pPr>
        <w:pStyle w:val="BodyText"/>
      </w:pPr>
      <w:r w:rsidRPr="00FB34A8">
        <w:t>Release 1. Supersedes and is equivalent to MSL973004A Perform aseptic techniques</w:t>
      </w:r>
    </w:p>
    <w:p w:rsidR="00000000" w:rsidRPr="00FB34A8" w:rsidP="00FB34A8">
      <w:pPr>
        <w:pStyle w:val="Heading1"/>
      </w:pPr>
      <w:bookmarkStart w:id="2" w:name="O_890452"/>
      <w:bookmarkEnd w:id="2"/>
      <w:r w:rsidRPr="00FB34A8">
        <w:t>Performance Evidence</w:t>
      </w:r>
    </w:p>
    <w:p w:rsidR="00000000" w:rsidRPr="00FB34A8" w:rsidP="001F1366">
      <w:pPr>
        <w:pStyle w:val="BodyText"/>
      </w:pPr>
      <w:r w:rsidRPr="00FB34A8">
        <w:t>Evidence of competence in this unit must satisfy all of the requirements of the elements and performance criteria, and include demonstration of:</w:t>
      </w:r>
    </w:p>
    <w:p w:rsidR="00000000" w:rsidRPr="00FB34A8" w:rsidP="00FB34A8">
      <w:pPr>
        <w:pStyle w:val="ListBullet"/>
      </w:pPr>
      <w:r w:rsidRPr="00FB34A8">
        <w:t>safely performing aseptic techniques that maintain the integrity of both the sample source and the sample on a</w:t>
      </w:r>
      <w:r w:rsidRPr="00FB34A8">
        <w:t>t least three (3) occasions using different samples</w:t>
      </w:r>
    </w:p>
    <w:p w:rsidR="00000000" w:rsidRPr="00FB34A8" w:rsidP="00FB34A8">
      <w:pPr>
        <w:pStyle w:val="ListBullet"/>
      </w:pPr>
      <w:r w:rsidRPr="00FB34A8">
        <w:t>preventing cross-contamination of sample source and sample</w:t>
      </w:r>
    </w:p>
    <w:p w:rsidR="00000000" w:rsidRPr="00FB34A8" w:rsidP="00FB34A8">
      <w:pPr>
        <w:pStyle w:val="ListBullet"/>
      </w:pPr>
      <w:r w:rsidRPr="00FB34A8">
        <w:t>manipulating laboratory equipment and glassware to prevent contamination of culture medium during transfer</w:t>
      </w:r>
    </w:p>
    <w:p w:rsidR="00000000" w:rsidRPr="00FB34A8" w:rsidP="00FB34A8">
      <w:pPr>
        <w:pStyle w:val="ListBullet"/>
      </w:pPr>
      <w:r w:rsidRPr="00FB34A8">
        <w:t>cleaning and disinfecting work surface</w:t>
      </w:r>
      <w:r w:rsidRPr="00FB34A8">
        <w:t>s and equipment to prevent cross-contamination of work area, personnel and environment</w:t>
      </w:r>
    </w:p>
    <w:p w:rsidR="00000000" w:rsidRPr="00FB34A8" w:rsidP="00FB34A8">
      <w:pPr>
        <w:pStyle w:val="ListBullet"/>
      </w:pPr>
      <w:r w:rsidRPr="00FB34A8">
        <w:t>performing quality control checks, including streaking out of cultures to a single colony and lawn cultures</w:t>
      </w:r>
    </w:p>
    <w:p w:rsidR="00000000" w:rsidRPr="00FB34A8" w:rsidP="00FB34A8">
      <w:pPr>
        <w:pStyle w:val="ListBullet"/>
      </w:pPr>
      <w:r w:rsidRPr="00FB34A8">
        <w:t>labelling and storing culture media according to workplace pr</w:t>
      </w:r>
      <w:r w:rsidRPr="00FB34A8">
        <w:t>ocedures</w:t>
      </w:r>
    </w:p>
    <w:p w:rsidR="00000000" w:rsidRPr="00FB34A8" w:rsidP="00FB34A8">
      <w:pPr>
        <w:pStyle w:val="ListBullet"/>
      </w:pPr>
      <w:r w:rsidRPr="00FB34A8">
        <w:t>recognising and reporting non-compliance, anomalies or out-of-specification results</w:t>
      </w:r>
    </w:p>
    <w:p w:rsidR="00000000" w:rsidRPr="00FB34A8" w:rsidP="00FB34A8">
      <w:pPr>
        <w:pStyle w:val="ListBullet"/>
      </w:pPr>
      <w:r w:rsidRPr="00FB34A8">
        <w:t>accurately recording data, labelling samples and completing workplace documentation</w:t>
      </w:r>
    </w:p>
    <w:p w:rsidR="00000000" w:rsidRPr="00FB34A8" w:rsidP="00FB34A8">
      <w:pPr>
        <w:pStyle w:val="ListBullet"/>
      </w:pPr>
      <w:r w:rsidRPr="00FB34A8">
        <w:t>consistently using appropriate personal protective equipment (PPE) and workplac</w:t>
      </w:r>
      <w:r w:rsidRPr="00FB34A8">
        <w:t>e procedures for aseptic transfer</w:t>
      </w:r>
    </w:p>
    <w:p w:rsidR="00000000" w:rsidRPr="00FB34A8" w:rsidP="00FB34A8">
      <w:pPr>
        <w:pStyle w:val="ListBullet"/>
      </w:pPr>
      <w:r w:rsidRPr="00FB34A8">
        <w:t>following workplace procedures for the sorting, collecting, treating, recycling and/or disposing of waste.</w:t>
      </w:r>
    </w:p>
    <w:p w:rsidR="00000000" w:rsidRPr="00FB34A8" w:rsidP="00FB34A8">
      <w:pPr>
        <w:pStyle w:val="AllowPageBreak"/>
      </w:pPr>
    </w:p>
    <w:p w:rsidR="00000000" w:rsidRPr="00FB34A8" w:rsidP="00FB34A8">
      <w:pPr>
        <w:pStyle w:val="Heading1"/>
      </w:pPr>
      <w:bookmarkStart w:id="3" w:name="O_890451"/>
      <w:bookmarkEnd w:id="3"/>
      <w:r w:rsidRPr="00FB34A8">
        <w:t>Knowledge Evidence</w:t>
      </w:r>
    </w:p>
    <w:p w:rsidR="00000000" w:rsidRPr="00FB34A8" w:rsidP="001F1366">
      <w:pPr>
        <w:pStyle w:val="BodyText"/>
      </w:pPr>
      <w:r w:rsidRPr="00FB34A8">
        <w:t>Must provide evidence that demonstrates knowledge of:</w:t>
      </w:r>
    </w:p>
    <w:p w:rsidR="00000000" w:rsidRPr="00FB34A8" w:rsidP="00FB34A8">
      <w:pPr>
        <w:pStyle w:val="ListBullet"/>
      </w:pPr>
      <w:r w:rsidRPr="00FB34A8">
        <w:t>growth requirements of m</w:t>
      </w:r>
      <w:r w:rsidRPr="00FB34A8">
        <w:t>icroorganisms (bacteria, fungi, protozoans, viruses and multi-cellular parasites) and tissue in terms of their laboratory culture</w:t>
      </w:r>
    </w:p>
    <w:p w:rsidR="00000000" w:rsidRPr="00FB34A8" w:rsidP="00FB34A8">
      <w:pPr>
        <w:pStyle w:val="ListBullet"/>
      </w:pPr>
      <w:r w:rsidRPr="00FB34A8">
        <w:t>relationship between sterile practices, hygiene procedures and the ability to obtain growth free of contamination</w:t>
      </w:r>
    </w:p>
    <w:p w:rsidR="00000000" w:rsidRPr="00FB34A8" w:rsidP="00FB34A8">
      <w:pPr>
        <w:pStyle w:val="ListBullet"/>
      </w:pPr>
      <w:r w:rsidRPr="00FB34A8">
        <w:t>importance o</w:t>
      </w:r>
      <w:r w:rsidRPr="00FB34A8">
        <w:t>f pure culture techniques and aseptic transfer to the successful microbiological investigation and correct interpretation of laboratory results</w:t>
      </w:r>
    </w:p>
    <w:p w:rsidR="00000000" w:rsidRPr="00FB34A8" w:rsidP="00FB34A8">
      <w:pPr>
        <w:pStyle w:val="ListBullet"/>
      </w:pPr>
      <w:r w:rsidRPr="00FB34A8">
        <w:t>c</w:t>
      </w:r>
      <w:r w:rsidRPr="00FB34A8">
        <w:t>leaning and sanitising requirements of equipment and work area, and effects of physical and chemical agents on microbial growth and death</w:t>
      </w:r>
    </w:p>
    <w:p w:rsidR="00000000" w:rsidRPr="00FB34A8" w:rsidP="00FB34A8">
      <w:pPr>
        <w:pStyle w:val="ListBullet"/>
      </w:pPr>
      <w:r w:rsidRPr="00FB34A8">
        <w:t>disinfection and sterilisation procedures used in the collection, processing and safe disposal of samples and material</w:t>
      </w:r>
      <w:r w:rsidRPr="00FB34A8">
        <w:t>s</w:t>
      </w:r>
    </w:p>
    <w:p w:rsidR="00000000" w:rsidRPr="00FB34A8" w:rsidP="00FB34A8">
      <w:pPr>
        <w:pStyle w:val="ListBullet"/>
      </w:pPr>
      <w:r w:rsidRPr="00FB34A8">
        <w:t>principles of infection control related to work health and safety (WHS), and sampling and transfer of materials in microbiological investigations</w:t>
      </w:r>
    </w:p>
    <w:p w:rsidR="00000000" w:rsidRPr="00FB34A8" w:rsidP="00FB34A8">
      <w:pPr>
        <w:pStyle w:val="ListBullet"/>
      </w:pPr>
      <w:r w:rsidRPr="00FB34A8">
        <w:t>relevant hazards, such as accessing the sample from difficult or dangerous areas; injuries from sharps, burn</w:t>
      </w:r>
      <w:r w:rsidRPr="00FB34A8">
        <w:t>ers, molten agar, dry ice and liquid nitrogen vapour; ultraviolet (UV) light sources; and exposure to hazardous substances and/or infectious agents</w:t>
      </w:r>
    </w:p>
    <w:p w:rsidR="00000000" w:rsidRPr="00FB34A8" w:rsidP="00FB34A8">
      <w:pPr>
        <w:pStyle w:val="ListBullet"/>
      </w:pPr>
      <w:r w:rsidRPr="00FB34A8">
        <w:t>relevant WHS and environment requirements.</w:t>
      </w:r>
    </w:p>
    <w:p w:rsidR="00000000" w:rsidRPr="00FB34A8" w:rsidP="00FB34A8">
      <w:pPr>
        <w:pStyle w:val="AllowPageBreak"/>
      </w:pPr>
    </w:p>
    <w:p w:rsidR="00000000" w:rsidRPr="00FB34A8" w:rsidP="00FB34A8">
      <w:pPr>
        <w:pStyle w:val="Heading1"/>
      </w:pPr>
      <w:bookmarkStart w:id="4" w:name="O_890450"/>
      <w:bookmarkEnd w:id="4"/>
      <w:r w:rsidRPr="00FB34A8">
        <w:t>Assessment Conditions</w:t>
      </w:r>
    </w:p>
    <w:p w:rsidR="00000000" w:rsidRPr="00FB34A8" w:rsidP="00FB34A8">
      <w:pPr>
        <w:pStyle w:val="ListBullet"/>
      </w:pPr>
      <w:r w:rsidRPr="00FB34A8">
        <w:t>Judgement of competence m</w:t>
      </w:r>
      <w:r w:rsidRPr="00FB34A8">
        <w:t xml:space="preserve">ust be based on holistic assessment of the evidence. Assessment methods must confirm consistency of performance over time, rather than a single assessment event. </w:t>
      </w:r>
    </w:p>
    <w:p w:rsidR="00000000" w:rsidRPr="00FB34A8" w:rsidP="00FB34A8">
      <w:pPr>
        <w:pStyle w:val="ListBullet"/>
      </w:pPr>
      <w:r w:rsidRPr="00FB34A8">
        <w:t>This unit of competency is to be assessed in the workplace or a simulated workplace environme</w:t>
      </w:r>
      <w:r w:rsidRPr="00FB34A8">
        <w:t>nt. A simulated workplace environment must reflect realistic operational workplace conditions that cover all aspects of workplace performance, including the environment, task skills, task management skills, contingency management skills and job role enviro</w:t>
      </w:r>
      <w:r w:rsidRPr="00FB34A8">
        <w:t xml:space="preserve">nment skills.  </w:t>
      </w:r>
    </w:p>
    <w:p w:rsidR="00000000" w:rsidRPr="00FB34A8" w:rsidP="00FB34A8">
      <w:pPr>
        <w:pStyle w:val="ListBullet"/>
      </w:pPr>
      <w:r w:rsidRPr="00FB34A8">
        <w:t xml:space="preserve">Foundation skills are integral to competent performance of the unit and should not be assessed separately. </w:t>
      </w:r>
    </w:p>
    <w:p w:rsidR="00000000" w:rsidRPr="00FB34A8" w:rsidP="00FB34A8">
      <w:pPr>
        <w:pStyle w:val="ListBullet"/>
      </w:pPr>
      <w:r w:rsidRPr="00FB34A8">
        <w:t>Assessment processes and techniques must be appropriate to the language, literacy and numeracy requirements of the work being perfor</w:t>
      </w:r>
      <w:r w:rsidRPr="00FB34A8">
        <w:t>med and the needs of the candidate.</w:t>
      </w:r>
    </w:p>
    <w:p w:rsidR="00000000" w:rsidRPr="00FB34A8" w:rsidP="00FB34A8">
      <w:pPr>
        <w:pStyle w:val="ListBullet"/>
      </w:pPr>
      <w:r w:rsidRPr="00FB34A8">
        <w:t>Knowledge evidence may be collected concurrently with performance evidence or through an independent process, such as workbooks, written assessments or interviews (provided a record is kept in each case).</w:t>
      </w:r>
    </w:p>
    <w:p w:rsidR="00000000" w:rsidRPr="00FB34A8" w:rsidP="00FB34A8">
      <w:pPr>
        <w:pStyle w:val="ListBullet"/>
      </w:pPr>
      <w:r w:rsidRPr="00FB34A8">
        <w:t>This unit of co</w:t>
      </w:r>
      <w:r w:rsidRPr="00FB34A8">
        <w:t xml:space="preserve">mpetency may be assessed with: </w:t>
      </w:r>
    </w:p>
    <w:p w:rsidR="00000000" w:rsidRPr="00FB34A8" w:rsidP="00FB34A8">
      <w:pPr>
        <w:pStyle w:val="ListBullet2"/>
      </w:pPr>
      <w:r w:rsidRPr="00FB34A8">
        <w:t>MSL943002 Participate in laboratory or field workplace safety</w:t>
      </w:r>
    </w:p>
    <w:p w:rsidR="00000000" w:rsidRPr="00FB34A8" w:rsidP="00FB34A8">
      <w:pPr>
        <w:pStyle w:val="ListBullet2"/>
      </w:pPr>
      <w:r w:rsidRPr="00FB34A8">
        <w:t>MSL973003 Prepare culture media</w:t>
      </w:r>
    </w:p>
    <w:p w:rsidR="00000000" w:rsidRPr="00FB34A8" w:rsidP="00FB34A8">
      <w:pPr>
        <w:pStyle w:val="ListBullet"/>
      </w:pPr>
      <w:r w:rsidRPr="00FB34A8">
        <w:t xml:space="preserve">Holistic assessment methods include: </w:t>
      </w:r>
    </w:p>
    <w:p w:rsidR="00000000" w:rsidRPr="00FB34A8" w:rsidP="00FB34A8">
      <w:pPr>
        <w:pStyle w:val="ListBullet2"/>
      </w:pPr>
      <w:r w:rsidRPr="00FB34A8">
        <w:t>observation of the candidate aseptically transferring a range of samples</w:t>
      </w:r>
    </w:p>
    <w:p w:rsidR="00000000" w:rsidRPr="00FB34A8" w:rsidP="00FB34A8">
      <w:pPr>
        <w:pStyle w:val="ListBullet2"/>
      </w:pPr>
      <w:r w:rsidRPr="00FB34A8">
        <w:t>review of quality assurance results and examination of samples transferred by the candidate</w:t>
      </w:r>
    </w:p>
    <w:p w:rsidR="00000000" w:rsidRPr="00FB34A8" w:rsidP="00FB34A8">
      <w:pPr>
        <w:pStyle w:val="ListBullet2"/>
      </w:pPr>
      <w:r w:rsidRPr="00FB34A8">
        <w:t>written and/or oral questioning about aseptic transfer techniques, typical quality problems, common hazards and safe work practices.</w:t>
      </w:r>
    </w:p>
    <w:p w:rsidR="00000000" w:rsidRPr="00FB34A8" w:rsidP="00FB34A8">
      <w:pPr>
        <w:pStyle w:val="ListBullet"/>
      </w:pPr>
      <w:r w:rsidRPr="00FB34A8">
        <w:t>Access is required to instrume</w:t>
      </w:r>
      <w:r w:rsidRPr="00FB34A8">
        <w:t>nts, equipment, materials, workplace documentation, procedures and specifications associated with this unit, including, but not limited to:</w:t>
      </w:r>
    </w:p>
    <w:p w:rsidR="00000000" w:rsidRPr="00FB34A8" w:rsidP="00FB34A8">
      <w:pPr>
        <w:pStyle w:val="ListBullet2"/>
      </w:pPr>
      <w:r w:rsidRPr="00FB34A8">
        <w:t>a standard laboratory</w:t>
      </w:r>
    </w:p>
    <w:p w:rsidR="00000000" w:rsidRPr="00FB34A8" w:rsidP="00FB34A8">
      <w:pPr>
        <w:pStyle w:val="ListBullet2"/>
      </w:pPr>
      <w:r w:rsidRPr="00FB34A8">
        <w:t>appropriate equipment, such as:</w:t>
      </w:r>
    </w:p>
    <w:p w:rsidR="00000000" w:rsidRPr="00FB34A8" w:rsidP="00FB34A8">
      <w:pPr>
        <w:pStyle w:val="ListBullet3"/>
      </w:pPr>
      <w:r w:rsidRPr="00FB34A8">
        <w:t>transfer equipment, such as inoculating loops, pipettes (qua</w:t>
      </w:r>
      <w:r w:rsidRPr="00FB34A8">
        <w:t>ntitative and qualitative), flasks, tubes and spatulas</w:t>
      </w:r>
    </w:p>
    <w:p w:rsidR="00000000" w:rsidRPr="00FB34A8" w:rsidP="00FB34A8">
      <w:pPr>
        <w:pStyle w:val="ListBullet3"/>
      </w:pPr>
      <w:r w:rsidRPr="00FB34A8">
        <w:t>Bunsen burners and bench incinerators</w:t>
      </w:r>
    </w:p>
    <w:p w:rsidR="00000000" w:rsidRPr="00FB34A8" w:rsidP="00FB34A8">
      <w:pPr>
        <w:pStyle w:val="ListBullet3"/>
      </w:pPr>
      <w:r w:rsidRPr="00FB34A8">
        <w:t>anaerobic jars</w:t>
      </w:r>
    </w:p>
    <w:p w:rsidR="00000000" w:rsidRPr="00FB34A8" w:rsidP="00FB34A8">
      <w:pPr>
        <w:pStyle w:val="ListBullet3"/>
      </w:pPr>
      <w:r w:rsidRPr="00FB34A8">
        <w:t>incubators, water baths, refrigerators, freezers and dry ice and liquid nitrogen cylinders, if required</w:t>
      </w:r>
    </w:p>
    <w:p w:rsidR="00000000" w:rsidRPr="00FB34A8" w:rsidP="00FB34A8">
      <w:pPr>
        <w:pStyle w:val="ListBullet3"/>
      </w:pPr>
      <w:r w:rsidRPr="00FB34A8">
        <w:t>laminar flow units and biohazard cabinets</w:t>
      </w:r>
    </w:p>
    <w:p w:rsidR="00000000" w:rsidRPr="00FB34A8" w:rsidP="00FB34A8">
      <w:pPr>
        <w:pStyle w:val="ListBullet3"/>
      </w:pPr>
      <w:r w:rsidRPr="00FB34A8">
        <w:t>autoclave or pressure cooker</w:t>
      </w:r>
    </w:p>
    <w:p w:rsidR="00000000" w:rsidRPr="00FB34A8" w:rsidP="00FB34A8">
      <w:pPr>
        <w:pStyle w:val="ListBullet3"/>
      </w:pPr>
      <w:r w:rsidRPr="00FB34A8">
        <w:t>swabs</w:t>
      </w:r>
    </w:p>
    <w:p w:rsidR="00000000" w:rsidRPr="00FB34A8" w:rsidP="00FB34A8">
      <w:pPr>
        <w:pStyle w:val="ListBullet3"/>
      </w:pPr>
      <w:r w:rsidRPr="00FB34A8">
        <w:t>a continuous culture system</w:t>
      </w:r>
    </w:p>
    <w:p w:rsidR="00000000" w:rsidRPr="00FB34A8" w:rsidP="00FB34A8">
      <w:pPr>
        <w:pStyle w:val="ListBullet2"/>
      </w:pPr>
      <w:r w:rsidRPr="00FB34A8">
        <w:t>appropriate materials, such as:</w:t>
      </w:r>
    </w:p>
    <w:p w:rsidR="00000000" w:rsidRPr="00FB34A8" w:rsidP="00FB34A8">
      <w:pPr>
        <w:pStyle w:val="ListBullet3"/>
      </w:pPr>
      <w:r w:rsidRPr="00FB34A8">
        <w:t>solid and/or liquid media</w:t>
      </w:r>
    </w:p>
    <w:p w:rsidR="00000000" w:rsidRPr="00FB34A8" w:rsidP="00FB34A8">
      <w:pPr>
        <w:pStyle w:val="ListBullet3"/>
      </w:pPr>
      <w:r w:rsidRPr="00FB34A8">
        <w:t>supplied media, such as media manufactured in the workplace or raw material supplies for media</w:t>
      </w:r>
    </w:p>
    <w:p w:rsidR="00000000" w:rsidRPr="00FB34A8" w:rsidP="00FB34A8">
      <w:pPr>
        <w:pStyle w:val="ListBullet3"/>
      </w:pPr>
      <w:r w:rsidRPr="00FB34A8">
        <w:t>disinfecting and sterilising agents an</w:t>
      </w:r>
      <w:r w:rsidRPr="00FB34A8">
        <w:t>d materials, such as methylated spirits, ethanol and ether</w:t>
      </w:r>
    </w:p>
    <w:p w:rsidR="00000000" w:rsidRPr="00FB34A8" w:rsidP="00FB34A8">
      <w:pPr>
        <w:pStyle w:val="ListBullet3"/>
      </w:pPr>
      <w:r w:rsidRPr="00FB34A8">
        <w:t>disposable equipment and clothing</w:t>
      </w:r>
    </w:p>
    <w:p w:rsidR="00000000" w:rsidRPr="00FB34A8" w:rsidP="00FB34A8">
      <w:pPr>
        <w:pStyle w:val="ListBullet3"/>
      </w:pPr>
      <w:r w:rsidRPr="00FB34A8">
        <w:t>tissue culture media</w:t>
      </w:r>
    </w:p>
    <w:p w:rsidR="00000000" w:rsidRPr="00FB34A8" w:rsidP="00FB34A8">
      <w:pPr>
        <w:pStyle w:val="ListBullet3"/>
      </w:pPr>
      <w:r w:rsidRPr="00FB34A8">
        <w:t>growth media in broths, plates, deeps or slopes</w:t>
      </w:r>
    </w:p>
    <w:p w:rsidR="00000000" w:rsidRPr="00FB34A8" w:rsidP="00FB34A8">
      <w:pPr>
        <w:pStyle w:val="ListBullet3"/>
      </w:pPr>
      <w:r w:rsidRPr="00FB34A8">
        <w:t>receptacles for safe disposal of wastes and for processing of reusable materials</w:t>
      </w:r>
    </w:p>
    <w:p w:rsidR="00000000" w:rsidRPr="00FB34A8" w:rsidP="00FB34A8">
      <w:pPr>
        <w:pStyle w:val="ListBullet3"/>
      </w:pPr>
      <w:r w:rsidRPr="00FB34A8">
        <w:t>bar coding material and labels</w:t>
      </w:r>
    </w:p>
    <w:p w:rsidR="00000000" w:rsidRPr="00FB34A8" w:rsidP="00FB34A8">
      <w:pPr>
        <w:pStyle w:val="ListBullet2"/>
      </w:pPr>
      <w:r w:rsidRPr="00FB34A8">
        <w:t>workplace schedules, procedures and standard methods, MSDS and documented safe work practices.</w:t>
      </w:r>
    </w:p>
    <w:p w:rsidR="00000000" w:rsidRPr="00FB34A8" w:rsidP="00FB34A8">
      <w:pPr>
        <w:pStyle w:val="ListBullet"/>
      </w:pPr>
      <w:r w:rsidRPr="00FB34A8">
        <w:t>Assessors must satisfy the assessor competency requirements that are in place at the time of the assessment as set by the VET re</w:t>
      </w:r>
      <w:r w:rsidRPr="00FB34A8">
        <w:t xml:space="preserve">gulator.  </w:t>
      </w:r>
    </w:p>
    <w:p w:rsidR="00000000" w:rsidRPr="00FB34A8" w:rsidP="00FB34A8">
      <w:pPr>
        <w:pStyle w:val="ListBullet"/>
      </w:pPr>
      <w:r w:rsidRPr="00FB34A8">
        <w:t>The assessor must demonstrate both technical competence and currency.</w:t>
      </w:r>
    </w:p>
    <w:p w:rsidR="00000000" w:rsidRPr="00FB34A8" w:rsidP="00FB34A8">
      <w:pPr>
        <w:pStyle w:val="ListBullet"/>
      </w:pPr>
      <w:r w:rsidRPr="00FB34A8">
        <w:t>Technical competence can be demonstrated through:</w:t>
      </w:r>
    </w:p>
    <w:p w:rsidR="00000000" w:rsidRPr="00FB34A8" w:rsidP="00FB34A8">
      <w:pPr>
        <w:pStyle w:val="ListBullet2"/>
      </w:pPr>
      <w:r w:rsidRPr="00FB34A8">
        <w:t>relevant VET or other qualification/Statement of Attainment AND/OR</w:t>
      </w:r>
    </w:p>
    <w:p w:rsidR="00000000" w:rsidRPr="00FB34A8" w:rsidP="00FB34A8">
      <w:pPr>
        <w:pStyle w:val="ListBullet2"/>
      </w:pPr>
      <w:r w:rsidRPr="00FB34A8">
        <w:t>relevant workplace experience.</w:t>
      </w:r>
    </w:p>
    <w:p w:rsidR="00000000" w:rsidRPr="00FB34A8" w:rsidP="00FB34A8">
      <w:pPr>
        <w:pStyle w:val="ListBullet"/>
      </w:pPr>
      <w:r w:rsidRPr="00FB34A8">
        <w:t>Currency can be demonstrated through:</w:t>
      </w:r>
    </w:p>
    <w:p w:rsidR="00000000" w:rsidRPr="00FB34A8" w:rsidP="00FB34A8">
      <w:pPr>
        <w:pStyle w:val="ListBullet2"/>
      </w:pPr>
      <w:r w:rsidRPr="00FB34A8">
        <w:t>performing the competency being assessed as part of current employment OR</w:t>
      </w:r>
    </w:p>
    <w:p w:rsidR="00000000" w:rsidRPr="00FB34A8" w:rsidP="00FB34A8">
      <w:pPr>
        <w:pStyle w:val="ListBullet2"/>
      </w:pPr>
      <w:r w:rsidRPr="00FB34A8">
        <w:t>having consulted with a laboratory about performing the competency being assessed within the last twelve months.</w:t>
      </w:r>
    </w:p>
    <w:p w:rsidR="00000000" w:rsidRPr="00FB34A8" w:rsidP="00FB34A8">
      <w:pPr>
        <w:pStyle w:val="AllowPageBreak"/>
      </w:pPr>
    </w:p>
    <w:p w:rsidR="00000000" w:rsidRPr="00FB34A8" w:rsidP="00FB34A8">
      <w:pPr>
        <w:pStyle w:val="Heading1"/>
      </w:pPr>
      <w:bookmarkStart w:id="5" w:name="O_890448"/>
      <w:bookmarkEnd w:id="5"/>
      <w:r w:rsidRPr="00FB34A8">
        <w:t>Links</w:t>
      </w:r>
    </w:p>
    <w:p w:rsidR="00000000" w:rsidRPr="00FB34A8" w:rsidP="001F1366">
      <w:pPr>
        <w:pStyle w:val="BodyText"/>
      </w:pPr>
      <w:r w:rsidRPr="00FB34A8">
        <w:t>Compani</w:t>
      </w:r>
      <w:r w:rsidRPr="00FB34A8">
        <w:t xml:space="preserve">on Volume implementation guides are found in VETNet - </w:t>
      </w:r>
      <w:r>
        <w:fldChar w:fldCharType="begin"/>
      </w:r>
      <w:r>
        <w:instrText xml:space="preserve"> HYPERLINK "https://vetnet.education.gov.au/Pages/TrainingDocs.aspx?q=5c63a03b-4a6b-4ae5-9560-1e3c5f462baa" </w:instrText>
      </w:r>
      <w:r>
        <w:fldChar w:fldCharType="separate"/>
      </w:r>
      <w:r w:rsidRPr="00083A20">
        <w:rPr>
          <w:rStyle w:val="Hyperlink"/>
        </w:rPr>
        <w:t>https://vetnet.education.gov.au/Pages/TrainingDocs.aspx?q=5c63a03b-4a6b-4ae5-9560-1e3c5f462baa</w:t>
      </w:r>
      <w:r>
        <w:fldChar w:fldCharType="end"/>
      </w:r>
    </w:p>
    <w:p w:rsidR="00000000" w:rsidRPr="00FB34A8" w:rsidP="00FB34A8"/>
    <w:sectPr w:rsidSect="00FB34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8" w:rsidRPr="001F1366" w:rsidP="001F1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66" w:rsidP="00FB3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1366" w:rsidP="00FB34A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366" w:rsidP="00FB3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4A8" w:rsidRPr="001F1366" w:rsidP="001F1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66" w:rsidRPr="002D2AF8" w:rsidP="00FB34A8">
    <w:pPr>
      <w:pStyle w:val="Header"/>
      <w:framePr w:wrap="around"/>
    </w:pPr>
    <w:r>
      <w:fldChar w:fldCharType="begin"/>
    </w:r>
    <w:r>
      <w:instrText xml:space="preserve"> TITLE   \* MERGEFORMAT </w:instrText>
    </w:r>
    <w:r>
      <w:fldChar w:fldCharType="separate"/>
    </w:r>
    <w:r>
      <w:t>Assessment Requirements for MSL973004 Perform aseptic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1F1366" w:rsidP="00FB3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2B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8E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4B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4A8"/>
    <w:pPr>
      <w:spacing w:before="360" w:after="60"/>
      <w:outlineLvl w:val="0"/>
    </w:pPr>
    <w:rPr>
      <w:sz w:val="32"/>
    </w:rPr>
  </w:style>
  <w:style w:type="paragraph" w:styleId="Heading2">
    <w:name w:val="heading 2"/>
    <w:basedOn w:val="HeadingBase"/>
    <w:next w:val="BodyText"/>
    <w:link w:val="Heading2Char"/>
    <w:qFormat/>
    <w:rsid w:val="00FB34A8"/>
    <w:pPr>
      <w:keepLines/>
      <w:spacing w:before="240" w:after="120"/>
      <w:outlineLvl w:val="1"/>
    </w:pPr>
    <w:rPr>
      <w:sz w:val="28"/>
      <w:szCs w:val="40"/>
    </w:rPr>
  </w:style>
  <w:style w:type="paragraph" w:styleId="Heading3">
    <w:name w:val="heading 3"/>
    <w:basedOn w:val="HeadingBase"/>
    <w:next w:val="BodyText"/>
    <w:link w:val="Heading3Char"/>
    <w:qFormat/>
    <w:rsid w:val="00FB34A8"/>
    <w:pPr>
      <w:spacing w:before="180" w:after="120"/>
      <w:outlineLvl w:val="2"/>
    </w:pPr>
    <w:rPr>
      <w:spacing w:val="-10"/>
      <w:kern w:val="32"/>
    </w:rPr>
  </w:style>
  <w:style w:type="paragraph" w:styleId="Heading4">
    <w:name w:val="heading 4"/>
    <w:basedOn w:val="HeadingBase"/>
    <w:next w:val="BodyText"/>
    <w:link w:val="Heading4Char"/>
    <w:qFormat/>
    <w:rsid w:val="00FB34A8"/>
    <w:pPr>
      <w:spacing w:before="160" w:after="120"/>
      <w:outlineLvl w:val="3"/>
    </w:pPr>
    <w:rPr>
      <w:sz w:val="22"/>
    </w:rPr>
  </w:style>
  <w:style w:type="paragraph" w:styleId="Heading5">
    <w:name w:val="heading 5"/>
    <w:basedOn w:val="HeadingBase"/>
    <w:next w:val="Normal"/>
    <w:link w:val="Heading5Char"/>
    <w:qFormat/>
    <w:rsid w:val="00FB34A8"/>
    <w:pPr>
      <w:spacing w:before="80"/>
      <w:outlineLvl w:val="4"/>
    </w:pPr>
    <w:rPr>
      <w:color w:val="918585"/>
      <w:sz w:val="20"/>
    </w:rPr>
  </w:style>
  <w:style w:type="paragraph" w:styleId="Heading6">
    <w:name w:val="heading 6"/>
    <w:basedOn w:val="HeadingBase"/>
    <w:next w:val="Normal"/>
    <w:link w:val="Heading6Char"/>
    <w:qFormat/>
    <w:rsid w:val="00FB34A8"/>
    <w:pPr>
      <w:spacing w:before="60"/>
      <w:outlineLvl w:val="5"/>
    </w:pPr>
    <w:rPr>
      <w:color w:val="918585"/>
      <w:sz w:val="20"/>
    </w:rPr>
  </w:style>
  <w:style w:type="paragraph" w:styleId="Heading7">
    <w:name w:val="heading 7"/>
    <w:basedOn w:val="Normal"/>
    <w:next w:val="Normal"/>
    <w:link w:val="Heading7Char"/>
    <w:qFormat/>
    <w:rsid w:val="00FB34A8"/>
    <w:pPr>
      <w:ind w:left="720"/>
      <w:outlineLvl w:val="6"/>
    </w:pPr>
    <w:rPr>
      <w:i/>
    </w:rPr>
  </w:style>
  <w:style w:type="paragraph" w:styleId="Heading8">
    <w:name w:val="heading 8"/>
    <w:basedOn w:val="Normal"/>
    <w:next w:val="Normal"/>
    <w:link w:val="Heading8Char"/>
    <w:qFormat/>
    <w:rsid w:val="00FB34A8"/>
    <w:pPr>
      <w:ind w:left="720"/>
      <w:outlineLvl w:val="7"/>
    </w:pPr>
    <w:rPr>
      <w:i/>
    </w:rPr>
  </w:style>
  <w:style w:type="paragraph" w:styleId="Heading9">
    <w:name w:val="heading 9"/>
    <w:basedOn w:val="Normal"/>
    <w:next w:val="Normal"/>
    <w:link w:val="Heading9Char"/>
    <w:qFormat/>
    <w:rsid w:val="00FB34A8"/>
    <w:pPr>
      <w:ind w:left="720"/>
      <w:outlineLvl w:val="8"/>
    </w:pPr>
    <w:rPr>
      <w:i/>
    </w:rPr>
  </w:style>
  <w:style w:type="character" w:default="1" w:styleId="DefaultParagraphFont">
    <w:name w:val="Default Paragraph Font"/>
    <w:uiPriority w:val="1"/>
    <w:unhideWhenUsed/>
    <w:rsid w:val="00FB3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4A8"/>
  </w:style>
  <w:style w:type="character" w:customStyle="1" w:styleId="Heading1Char">
    <w:name w:val="Heading 1 Char"/>
    <w:basedOn w:val="DefaultParagraphFont"/>
    <w:link w:val="Heading1"/>
    <w:rsid w:val="00FB34A8"/>
    <w:rPr>
      <w:rFonts w:ascii="Times New Roman" w:eastAsia="Times New Roman" w:hAnsi="Times New Roman" w:cs="Times New Roman"/>
      <w:b/>
      <w:sz w:val="32"/>
      <w:szCs w:val="20"/>
      <w:lang w:eastAsia="en-US"/>
    </w:rPr>
  </w:style>
  <w:style w:type="paragraph" w:styleId="BodyText">
    <w:name w:val="Body Text"/>
    <w:basedOn w:val="Normal"/>
    <w:link w:val="BodyTextChar"/>
    <w:rsid w:val="00FB3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4A8"/>
    <w:rPr>
      <w:rFonts w:ascii="Times New Roman" w:eastAsia="Times New Roman" w:hAnsi="Times New Roman" w:cs="Times New Roman"/>
      <w:sz w:val="24"/>
      <w:lang w:eastAsia="en-US"/>
    </w:rPr>
  </w:style>
  <w:style w:type="paragraph" w:styleId="ListBullet">
    <w:name w:val="List Bullet"/>
    <w:basedOn w:val="List"/>
    <w:rsid w:val="00FB34A8"/>
    <w:pPr>
      <w:numPr>
        <w:numId w:val="14"/>
      </w:numPr>
      <w:tabs>
        <w:tab w:val="clear" w:pos="340"/>
      </w:tabs>
      <w:spacing w:before="40" w:after="40"/>
    </w:pPr>
  </w:style>
  <w:style w:type="paragraph" w:styleId="ListBullet2">
    <w:name w:val="List Bullet 2"/>
    <w:basedOn w:val="List2"/>
    <w:rsid w:val="00FB34A8"/>
    <w:pPr>
      <w:numPr>
        <w:numId w:val="15"/>
      </w:numPr>
      <w:tabs>
        <w:tab w:val="clear" w:pos="680"/>
      </w:tabs>
    </w:pPr>
  </w:style>
  <w:style w:type="paragraph" w:customStyle="1" w:styleId="SuperHeading">
    <w:name w:val="SuperHeading"/>
    <w:basedOn w:val="Normal"/>
    <w:rsid w:val="00FB34A8"/>
    <w:pPr>
      <w:spacing w:before="240" w:after="120"/>
      <w:outlineLvl w:val="0"/>
    </w:pPr>
    <w:rPr>
      <w:rFonts w:ascii="Times New Roman" w:hAnsi="Times New Roman"/>
      <w:b/>
      <w:sz w:val="32"/>
    </w:rPr>
  </w:style>
  <w:style w:type="paragraph" w:customStyle="1" w:styleId="AllowPageBreak">
    <w:name w:val="AllowPageBreak"/>
    <w:rsid w:val="00FB34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34A8"/>
    <w:pPr>
      <w:numPr>
        <w:numId w:val="3"/>
      </w:numPr>
      <w:tabs>
        <w:tab w:val="clear" w:pos="1021"/>
      </w:tabs>
      <w:ind w:left="1037" w:hanging="357"/>
    </w:pPr>
  </w:style>
  <w:style w:type="character" w:customStyle="1" w:styleId="Heading2Char">
    <w:name w:val="Heading 2 Char"/>
    <w:basedOn w:val="DefaultParagraphFont"/>
    <w:link w:val="Heading2"/>
    <w:rsid w:val="00FB3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4A8"/>
    <w:rPr>
      <w:rFonts w:ascii="Courier New" w:eastAsia="Times New Roman" w:hAnsi="Courier New" w:cs="Times New Roman"/>
      <w:i/>
      <w:szCs w:val="20"/>
      <w:lang w:eastAsia="en-US"/>
    </w:rPr>
  </w:style>
  <w:style w:type="paragraph" w:customStyle="1" w:styleId="HeadingBase">
    <w:name w:val="Heading Base"/>
    <w:rsid w:val="00FB3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4A8"/>
    <w:pPr>
      <w:tabs>
        <w:tab w:val="right" w:leader="dot" w:pos="9072"/>
      </w:tabs>
      <w:ind w:left="567"/>
    </w:pPr>
    <w:rPr>
      <w:szCs w:val="22"/>
    </w:rPr>
  </w:style>
  <w:style w:type="paragraph" w:customStyle="1" w:styleId="TOCBase">
    <w:name w:val="TOC Base"/>
    <w:rsid w:val="00FB3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4A8"/>
    <w:pPr>
      <w:tabs>
        <w:tab w:val="right" w:leader="dot" w:pos="9072"/>
      </w:tabs>
      <w:spacing w:before="40" w:after="40"/>
      <w:ind w:left="284"/>
    </w:pPr>
    <w:rPr>
      <w:rFonts w:ascii="Times New Roman" w:hAnsi="Times New Roman"/>
    </w:rPr>
  </w:style>
  <w:style w:type="paragraph" w:styleId="TOC1">
    <w:name w:val="toc 1"/>
    <w:basedOn w:val="TOCBase"/>
    <w:next w:val="Normal"/>
    <w:rsid w:val="00FB3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4A8"/>
    <w:rPr>
      <w:rFonts w:ascii="Times New Roman" w:eastAsia="Times New Roman" w:hAnsi="Times New Roman" w:cs="Times New Roman"/>
      <w:sz w:val="16"/>
      <w:lang w:eastAsia="en-US"/>
    </w:rPr>
  </w:style>
  <w:style w:type="paragraph" w:styleId="Title">
    <w:name w:val="Title"/>
    <w:basedOn w:val="HeadingBase"/>
    <w:link w:val="TitleChar"/>
    <w:qFormat/>
    <w:rsid w:val="00FB34A8"/>
    <w:pPr>
      <w:spacing w:before="5040"/>
      <w:jc w:val="center"/>
    </w:pPr>
    <w:rPr>
      <w:sz w:val="48"/>
      <w:szCs w:val="72"/>
      <w:lang w:val="en-US"/>
    </w:rPr>
  </w:style>
  <w:style w:type="character" w:customStyle="1" w:styleId="TitleChar">
    <w:name w:val="Title Char"/>
    <w:basedOn w:val="DefaultParagraphFont"/>
    <w:link w:val="Title"/>
    <w:rsid w:val="00FB3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4A8"/>
    <w:pPr>
      <w:tabs>
        <w:tab w:val="left" w:pos="3600"/>
        <w:tab w:val="left" w:pos="3958"/>
      </w:tabs>
    </w:pPr>
  </w:style>
  <w:style w:type="paragraph" w:styleId="List">
    <w:name w:val="List"/>
    <w:basedOn w:val="BodyText"/>
    <w:next w:val="BodyText"/>
    <w:rsid w:val="00FB34A8"/>
    <w:pPr>
      <w:tabs>
        <w:tab w:val="left" w:pos="340"/>
      </w:tabs>
      <w:spacing w:before="60" w:after="60"/>
      <w:ind w:left="340" w:hanging="340"/>
    </w:pPr>
  </w:style>
  <w:style w:type="paragraph" w:customStyle="1" w:styleId="Note">
    <w:name w:val="Note"/>
    <w:basedOn w:val="BodyText"/>
    <w:rsid w:val="00FB34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34A8"/>
    <w:rPr>
      <w:b/>
      <w:spacing w:val="0"/>
    </w:rPr>
  </w:style>
  <w:style w:type="paragraph" w:customStyle="1" w:styleId="SuperTitle">
    <w:name w:val="SuperTitle"/>
    <w:basedOn w:val="Title"/>
    <w:rsid w:val="00FB34A8"/>
    <w:pPr>
      <w:framePr w:wrap="auto" w:hAnchor="text" w:y="6049"/>
    </w:pPr>
    <w:rPr>
      <w:color w:val="000000"/>
      <w:sz w:val="40"/>
    </w:rPr>
  </w:style>
  <w:style w:type="paragraph" w:customStyle="1" w:styleId="TOCTitle">
    <w:name w:val="TOCTitle"/>
    <w:basedOn w:val="Heading1"/>
    <w:rsid w:val="00FB34A8"/>
    <w:pPr>
      <w:spacing w:after="240"/>
      <w:jc w:val="center"/>
      <w:outlineLvl w:val="9"/>
    </w:pPr>
    <w:rPr>
      <w:caps/>
    </w:rPr>
  </w:style>
  <w:style w:type="paragraph" w:customStyle="1" w:styleId="Version">
    <w:name w:val="Version"/>
    <w:rsid w:val="00FB3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4A8"/>
    <w:pPr>
      <w:keepNext w:val="0"/>
      <w:tabs>
        <w:tab w:val="right" w:pos="4176"/>
      </w:tabs>
      <w:ind w:left="198" w:hanging="198"/>
    </w:pPr>
    <w:rPr>
      <w:rFonts w:ascii="Garamond" w:hAnsi="Garamond"/>
    </w:rPr>
  </w:style>
  <w:style w:type="paragraph" w:styleId="IndexHeading">
    <w:name w:val="index heading"/>
    <w:basedOn w:val="Normal"/>
    <w:next w:val="Index1"/>
    <w:semiHidden/>
    <w:rsid w:val="00FB34A8"/>
    <w:pPr>
      <w:spacing w:before="120" w:after="120"/>
    </w:pPr>
    <w:rPr>
      <w:rFonts w:ascii="Arial" w:hAnsi="Arial"/>
      <w:b/>
      <w:color w:val="918585"/>
      <w:sz w:val="24"/>
    </w:rPr>
  </w:style>
  <w:style w:type="paragraph" w:styleId="Header">
    <w:name w:val="header"/>
    <w:basedOn w:val="Normal"/>
    <w:link w:val="HeaderChar"/>
    <w:rsid w:val="00FB3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4A8"/>
    <w:rPr>
      <w:rFonts w:ascii="Times New Roman" w:eastAsia="Times New Roman" w:hAnsi="Times New Roman" w:cs="Times New Roman"/>
      <w:sz w:val="16"/>
      <w:szCs w:val="20"/>
      <w:lang w:val="en-GB" w:eastAsia="en-US"/>
    </w:rPr>
  </w:style>
  <w:style w:type="paragraph" w:customStyle="1" w:styleId="Chapter">
    <w:name w:val="Chapter"/>
    <w:basedOn w:val="Normal"/>
    <w:rsid w:val="00FB34A8"/>
    <w:pPr>
      <w:spacing w:before="240"/>
    </w:pPr>
    <w:rPr>
      <w:rFonts w:ascii="Times New Roman" w:hAnsi="Times New Roman"/>
      <w:smallCaps/>
      <w:spacing w:val="80"/>
      <w:sz w:val="28"/>
    </w:rPr>
  </w:style>
  <w:style w:type="paragraph" w:customStyle="1" w:styleId="InChapter">
    <w:name w:val="InChapter"/>
    <w:basedOn w:val="Heading3"/>
    <w:rsid w:val="00FB34A8"/>
    <w:pPr>
      <w:spacing w:after="240"/>
      <w:outlineLvl w:val="9"/>
    </w:pPr>
    <w:rPr>
      <w:noProof/>
    </w:rPr>
  </w:style>
  <w:style w:type="paragraph" w:styleId="Index2">
    <w:name w:val="index 2"/>
    <w:basedOn w:val="Normal"/>
    <w:next w:val="Normal"/>
    <w:semiHidden/>
    <w:rsid w:val="00FB34A8"/>
    <w:pPr>
      <w:tabs>
        <w:tab w:val="right" w:pos="4176"/>
      </w:tabs>
      <w:ind w:left="568" w:hanging="284"/>
    </w:pPr>
    <w:rPr>
      <w:rFonts w:ascii="Garamond" w:hAnsi="Garamond"/>
    </w:rPr>
  </w:style>
  <w:style w:type="paragraph" w:customStyle="1" w:styleId="Byline">
    <w:name w:val="Byline"/>
    <w:rsid w:val="00FB3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4A8"/>
    <w:pPr>
      <w:tabs>
        <w:tab w:val="clear" w:pos="3600"/>
        <w:tab w:val="clear" w:pos="3958"/>
      </w:tabs>
      <w:jc w:val="right"/>
    </w:pPr>
  </w:style>
  <w:style w:type="character" w:styleId="Emphasis">
    <w:name w:val="Emphasis"/>
    <w:basedOn w:val="DefaultParagraphFont"/>
    <w:qFormat/>
    <w:rsid w:val="00FB34A8"/>
    <w:rPr>
      <w:i/>
    </w:rPr>
  </w:style>
  <w:style w:type="paragraph" w:styleId="Caption">
    <w:name w:val="caption"/>
    <w:basedOn w:val="BodyText"/>
    <w:next w:val="Normal"/>
    <w:qFormat/>
    <w:rsid w:val="00FB34A8"/>
    <w:pPr>
      <w:framePr w:w="2268" w:hSpace="181" w:vSpace="181" w:wrap="around" w:vAnchor="text" w:hAnchor="page" w:x="1135" w:y="285" w:anchorLock="1"/>
    </w:pPr>
    <w:rPr>
      <w:i/>
    </w:rPr>
  </w:style>
  <w:style w:type="paragraph" w:customStyle="1" w:styleId="MiniTOCTitle">
    <w:name w:val="MiniTOCTitle"/>
    <w:basedOn w:val="Heading4"/>
    <w:rsid w:val="00FB34A8"/>
    <w:pPr>
      <w:spacing w:before="240"/>
      <w:outlineLvl w:val="9"/>
    </w:pPr>
    <w:rPr>
      <w:noProof/>
      <w:sz w:val="24"/>
    </w:rPr>
  </w:style>
  <w:style w:type="paragraph" w:customStyle="1" w:styleId="MiniTOCItem">
    <w:name w:val="MiniTOCItem"/>
    <w:basedOn w:val="ListBullet"/>
    <w:rsid w:val="00FB34A8"/>
    <w:pPr>
      <w:numPr>
        <w:numId w:val="0"/>
      </w:numPr>
      <w:tabs>
        <w:tab w:val="right" w:leader="dot" w:pos="6521"/>
      </w:tabs>
      <w:spacing w:before="0" w:after="0"/>
    </w:pPr>
  </w:style>
  <w:style w:type="paragraph" w:customStyle="1" w:styleId="TOFTitle">
    <w:name w:val="TOFTitle"/>
    <w:basedOn w:val="TOCTitle"/>
    <w:rsid w:val="00FB34A8"/>
  </w:style>
  <w:style w:type="paragraph" w:styleId="TableofFigures">
    <w:name w:val="table of figures"/>
    <w:basedOn w:val="Normal"/>
    <w:next w:val="Normal"/>
    <w:semiHidden/>
    <w:rsid w:val="00FB34A8"/>
    <w:pPr>
      <w:tabs>
        <w:tab w:val="right" w:leader="dot" w:pos="9072"/>
      </w:tabs>
      <w:ind w:left="970" w:hanging="403"/>
    </w:pPr>
    <w:rPr>
      <w:rFonts w:ascii="Times New Roman" w:hAnsi="Times New Roman"/>
      <w:b/>
    </w:rPr>
  </w:style>
  <w:style w:type="paragraph" w:styleId="ListNumber">
    <w:name w:val="List Number"/>
    <w:basedOn w:val="List"/>
    <w:rsid w:val="00FB34A8"/>
    <w:pPr>
      <w:numPr>
        <w:numId w:val="12"/>
      </w:numPr>
    </w:pPr>
  </w:style>
  <w:style w:type="character" w:customStyle="1" w:styleId="WingdingSymbols">
    <w:name w:val="Wingding Symbols"/>
    <w:rsid w:val="00FB34A8"/>
    <w:rPr>
      <w:rFonts w:ascii="Wingdings" w:hAnsi="Wingdings"/>
    </w:rPr>
  </w:style>
  <w:style w:type="paragraph" w:customStyle="1" w:styleId="TableHeading">
    <w:name w:val="Table Heading"/>
    <w:basedOn w:val="HeadingBase"/>
    <w:rsid w:val="00FB34A8"/>
    <w:pPr>
      <w:keepLines/>
      <w:pBdr>
        <w:bottom w:val="single" w:sz="6" w:space="1" w:color="918585"/>
      </w:pBdr>
      <w:spacing w:before="240"/>
    </w:pPr>
  </w:style>
  <w:style w:type="character" w:customStyle="1" w:styleId="HotSpot">
    <w:name w:val="HotSpot"/>
    <w:rsid w:val="00FB34A8"/>
    <w:rPr>
      <w:color w:val="0033CC"/>
      <w:u w:val="none"/>
    </w:rPr>
  </w:style>
  <w:style w:type="paragraph" w:customStyle="1" w:styleId="BodyTextRight">
    <w:name w:val="Body Text Right"/>
    <w:basedOn w:val="BodyText"/>
    <w:rsid w:val="00FB34A8"/>
    <w:pPr>
      <w:spacing w:before="0" w:after="0"/>
      <w:jc w:val="right"/>
    </w:pPr>
  </w:style>
  <w:style w:type="paragraph" w:styleId="Index3">
    <w:name w:val="index 3"/>
    <w:basedOn w:val="ListNumber2"/>
    <w:next w:val="Normal"/>
    <w:semiHidden/>
    <w:rsid w:val="00FB34A8"/>
    <w:pPr>
      <w:numPr>
        <w:numId w:val="0"/>
      </w:numPr>
      <w:tabs>
        <w:tab w:val="right" w:leader="dot" w:pos="4176"/>
      </w:tabs>
    </w:pPr>
  </w:style>
  <w:style w:type="paragraph" w:styleId="ListNumber2">
    <w:name w:val="List Number 2"/>
    <w:basedOn w:val="List2"/>
    <w:rsid w:val="00FB34A8"/>
    <w:pPr>
      <w:numPr>
        <w:numId w:val="11"/>
      </w:numPr>
      <w:tabs>
        <w:tab w:val="clear" w:pos="1060"/>
      </w:tabs>
    </w:pPr>
  </w:style>
  <w:style w:type="paragraph" w:customStyle="1" w:styleId="MarginNote">
    <w:name w:val="Margin Note"/>
    <w:basedOn w:val="BodyText"/>
    <w:rsid w:val="00FB3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4A8"/>
    <w:rPr>
      <w:sz w:val="32"/>
    </w:rPr>
  </w:style>
  <w:style w:type="paragraph" w:customStyle="1" w:styleId="HeadingProcedure">
    <w:name w:val="Heading Procedure"/>
    <w:basedOn w:val="HeadingBase"/>
    <w:next w:val="Normal"/>
    <w:rsid w:val="00FB34A8"/>
    <w:pPr>
      <w:tabs>
        <w:tab w:val="left" w:pos="0"/>
      </w:tabs>
      <w:spacing w:before="120" w:after="60"/>
    </w:pPr>
    <w:rPr>
      <w:i/>
      <w:color w:val="918585"/>
      <w:sz w:val="22"/>
    </w:rPr>
  </w:style>
  <w:style w:type="paragraph" w:customStyle="1" w:styleId="TableBodyText">
    <w:name w:val="Table Body Text"/>
    <w:basedOn w:val="BodyText"/>
    <w:rsid w:val="00FB34A8"/>
    <w:pPr>
      <w:spacing w:before="60" w:after="60"/>
    </w:pPr>
  </w:style>
  <w:style w:type="paragraph" w:styleId="ListContinue">
    <w:name w:val="List Continue"/>
    <w:basedOn w:val="List"/>
    <w:rsid w:val="00FB34A8"/>
    <w:pPr>
      <w:ind w:firstLine="0"/>
    </w:pPr>
  </w:style>
  <w:style w:type="paragraph" w:customStyle="1" w:styleId="ListNote">
    <w:name w:val="List Note"/>
    <w:basedOn w:val="List"/>
    <w:rsid w:val="00FB34A8"/>
    <w:pPr>
      <w:pBdr>
        <w:top w:val="single" w:sz="6" w:space="2" w:color="918585"/>
        <w:bottom w:val="single" w:sz="6" w:space="2" w:color="918585"/>
      </w:pBdr>
      <w:tabs>
        <w:tab w:val="left" w:pos="1021"/>
      </w:tabs>
      <w:ind w:firstLine="0"/>
    </w:pPr>
  </w:style>
  <w:style w:type="paragraph" w:customStyle="1" w:styleId="Warning">
    <w:name w:val="Warning"/>
    <w:basedOn w:val="BodyText"/>
    <w:rsid w:val="00FB34A8"/>
    <w:pPr>
      <w:shd w:val="clear" w:color="auto" w:fill="D9D9D9"/>
      <w:tabs>
        <w:tab w:val="left" w:pos="992"/>
      </w:tabs>
      <w:ind w:left="119" w:right="119"/>
    </w:pPr>
    <w:rPr>
      <w:sz w:val="20"/>
    </w:rPr>
  </w:style>
  <w:style w:type="paragraph" w:customStyle="1" w:styleId="MarginIcons">
    <w:name w:val="Margin Icons"/>
    <w:basedOn w:val="BodyText"/>
    <w:rsid w:val="00FB3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4A8"/>
    <w:rPr>
      <w:rFonts w:ascii="Courier New" w:hAnsi="Courier New"/>
    </w:rPr>
  </w:style>
  <w:style w:type="paragraph" w:customStyle="1" w:styleId="NoteBullet">
    <w:name w:val="Note Bullet"/>
    <w:basedOn w:val="Note"/>
    <w:rsid w:val="00FB34A8"/>
    <w:pPr>
      <w:tabs>
        <w:tab w:val="clear" w:pos="680"/>
      </w:tabs>
      <w:spacing w:before="60" w:after="60"/>
    </w:pPr>
  </w:style>
  <w:style w:type="paragraph" w:customStyle="1" w:styleId="SubHeading2">
    <w:name w:val="SubHeading2"/>
    <w:basedOn w:val="HeadingBase"/>
    <w:rsid w:val="00FB34A8"/>
    <w:pPr>
      <w:spacing w:before="240" w:after="60"/>
    </w:pPr>
    <w:rPr>
      <w:sz w:val="20"/>
    </w:rPr>
  </w:style>
  <w:style w:type="paragraph" w:customStyle="1" w:styleId="SubHeading1">
    <w:name w:val="SubHeading1"/>
    <w:basedOn w:val="HeadingBase"/>
    <w:rsid w:val="00FB34A8"/>
    <w:pPr>
      <w:spacing w:before="240" w:after="60"/>
    </w:pPr>
    <w:rPr>
      <w:color w:val="918585"/>
      <w:sz w:val="22"/>
    </w:rPr>
  </w:style>
  <w:style w:type="paragraph" w:customStyle="1" w:styleId="SideHeading">
    <w:name w:val="Side Heading"/>
    <w:basedOn w:val="HeadingBase"/>
    <w:rsid w:val="00FB3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4A8"/>
    <w:pPr>
      <w:numPr>
        <w:numId w:val="13"/>
      </w:numPr>
    </w:pPr>
  </w:style>
  <w:style w:type="paragraph" w:styleId="PlainText">
    <w:name w:val="Plain Text"/>
    <w:basedOn w:val="Normal"/>
    <w:link w:val="PlainTextChar"/>
    <w:rsid w:val="00FB34A8"/>
    <w:rPr>
      <w:sz w:val="20"/>
    </w:rPr>
  </w:style>
  <w:style w:type="character" w:customStyle="1" w:styleId="PlainTextChar">
    <w:name w:val="Plain Text Char"/>
    <w:basedOn w:val="DefaultParagraphFont"/>
    <w:link w:val="PlainText"/>
    <w:rsid w:val="00FB34A8"/>
    <w:rPr>
      <w:rFonts w:ascii="Courier New" w:eastAsia="Times New Roman" w:hAnsi="Courier New" w:cs="Times New Roman"/>
      <w:sz w:val="20"/>
      <w:szCs w:val="20"/>
      <w:lang w:eastAsia="en-US"/>
    </w:rPr>
  </w:style>
  <w:style w:type="character" w:customStyle="1" w:styleId="MenuOption">
    <w:name w:val="Menu Option"/>
    <w:basedOn w:val="DefaultParagraphFont"/>
    <w:rsid w:val="00FB34A8"/>
    <w:rPr>
      <w:b/>
      <w:smallCaps/>
    </w:rPr>
  </w:style>
  <w:style w:type="paragraph" w:customStyle="1" w:styleId="TableListNumber">
    <w:name w:val="Table List Number"/>
    <w:basedOn w:val="ListNumber"/>
    <w:rsid w:val="00FB34A8"/>
    <w:pPr>
      <w:numPr>
        <w:numId w:val="0"/>
      </w:numPr>
    </w:pPr>
  </w:style>
  <w:style w:type="paragraph" w:styleId="TOC4">
    <w:name w:val="toc 4"/>
    <w:basedOn w:val="TOCBase"/>
    <w:next w:val="Normal"/>
    <w:semiHidden/>
    <w:rsid w:val="00FB34A8"/>
    <w:pPr>
      <w:tabs>
        <w:tab w:val="right" w:leader="dot" w:pos="9071"/>
      </w:tabs>
      <w:ind w:left="1701"/>
    </w:pPr>
  </w:style>
  <w:style w:type="paragraph" w:customStyle="1" w:styleId="ListAlpha">
    <w:name w:val="List Alpha"/>
    <w:basedOn w:val="List"/>
    <w:rsid w:val="00FB34A8"/>
    <w:pPr>
      <w:numPr>
        <w:numId w:val="10"/>
      </w:numPr>
    </w:pPr>
  </w:style>
  <w:style w:type="paragraph" w:customStyle="1" w:styleId="ListAlpha2">
    <w:name w:val="List Alpha 2"/>
    <w:basedOn w:val="List2"/>
    <w:rsid w:val="00FB34A8"/>
    <w:pPr>
      <w:numPr>
        <w:numId w:val="9"/>
      </w:numPr>
    </w:pPr>
  </w:style>
  <w:style w:type="paragraph" w:styleId="List2">
    <w:name w:val="List 2"/>
    <w:basedOn w:val="BodyText"/>
    <w:rsid w:val="00FB34A8"/>
    <w:pPr>
      <w:tabs>
        <w:tab w:val="left" w:pos="680"/>
      </w:tabs>
      <w:spacing w:before="60" w:after="60"/>
      <w:ind w:left="680" w:hanging="340"/>
    </w:pPr>
  </w:style>
  <w:style w:type="paragraph" w:styleId="List3">
    <w:name w:val="List 3"/>
    <w:basedOn w:val="BodyText"/>
    <w:rsid w:val="00FB34A8"/>
    <w:pPr>
      <w:tabs>
        <w:tab w:val="left" w:pos="1021"/>
      </w:tabs>
      <w:spacing w:before="60" w:after="60"/>
      <w:ind w:left="1020" w:hanging="340"/>
    </w:pPr>
  </w:style>
  <w:style w:type="paragraph" w:styleId="List4">
    <w:name w:val="List 4"/>
    <w:basedOn w:val="BodyText"/>
    <w:rsid w:val="00FB34A8"/>
    <w:pPr>
      <w:tabs>
        <w:tab w:val="left" w:pos="1361"/>
      </w:tabs>
      <w:spacing w:before="60" w:after="60"/>
      <w:ind w:left="1361" w:hanging="340"/>
    </w:pPr>
  </w:style>
  <w:style w:type="paragraph" w:styleId="List5">
    <w:name w:val="List 5"/>
    <w:basedOn w:val="BodyText"/>
    <w:rsid w:val="00FB34A8"/>
    <w:pPr>
      <w:tabs>
        <w:tab w:val="left" w:pos="1701"/>
      </w:tabs>
      <w:spacing w:before="60" w:after="60"/>
      <w:ind w:left="1701" w:hanging="340"/>
    </w:pPr>
  </w:style>
  <w:style w:type="paragraph" w:styleId="ListBullet4">
    <w:name w:val="List Bullet 4"/>
    <w:basedOn w:val="List4"/>
    <w:rsid w:val="00FB34A8"/>
    <w:pPr>
      <w:numPr>
        <w:numId w:val="4"/>
      </w:numPr>
      <w:tabs>
        <w:tab w:val="clear" w:pos="1361"/>
      </w:tabs>
    </w:pPr>
  </w:style>
  <w:style w:type="paragraph" w:styleId="ListBullet5">
    <w:name w:val="List Bullet 5"/>
    <w:basedOn w:val="List5"/>
    <w:rsid w:val="00FB34A8"/>
    <w:pPr>
      <w:numPr>
        <w:numId w:val="5"/>
      </w:numPr>
    </w:pPr>
  </w:style>
  <w:style w:type="paragraph" w:styleId="ListContinue2">
    <w:name w:val="List Continue 2"/>
    <w:basedOn w:val="List2"/>
    <w:rsid w:val="00FB34A8"/>
    <w:pPr>
      <w:ind w:firstLine="0"/>
    </w:pPr>
  </w:style>
  <w:style w:type="paragraph" w:styleId="ListContinue3">
    <w:name w:val="List Continue 3"/>
    <w:basedOn w:val="List3"/>
    <w:rsid w:val="00FB34A8"/>
    <w:pPr>
      <w:ind w:left="1021" w:firstLine="0"/>
    </w:pPr>
  </w:style>
  <w:style w:type="paragraph" w:styleId="ListContinue4">
    <w:name w:val="List Continue 4"/>
    <w:basedOn w:val="List4"/>
    <w:rsid w:val="00FB34A8"/>
    <w:pPr>
      <w:ind w:firstLine="0"/>
    </w:pPr>
  </w:style>
  <w:style w:type="paragraph" w:styleId="ListContinue5">
    <w:name w:val="List Continue 5"/>
    <w:basedOn w:val="List5"/>
    <w:rsid w:val="00FB34A8"/>
    <w:pPr>
      <w:ind w:firstLine="0"/>
    </w:pPr>
  </w:style>
  <w:style w:type="paragraph" w:styleId="ListNumber3">
    <w:name w:val="List Number 3"/>
    <w:basedOn w:val="List3"/>
    <w:rsid w:val="00FB34A8"/>
    <w:pPr>
      <w:numPr>
        <w:numId w:val="6"/>
      </w:numPr>
    </w:pPr>
  </w:style>
  <w:style w:type="paragraph" w:styleId="ListNumber4">
    <w:name w:val="List Number 4"/>
    <w:basedOn w:val="List4"/>
    <w:rsid w:val="00FB34A8"/>
    <w:pPr>
      <w:numPr>
        <w:numId w:val="7"/>
      </w:numPr>
    </w:pPr>
  </w:style>
  <w:style w:type="paragraph" w:styleId="ListNumber5">
    <w:name w:val="List Number 5"/>
    <w:basedOn w:val="List5"/>
    <w:rsid w:val="00FB34A8"/>
    <w:pPr>
      <w:numPr>
        <w:numId w:val="8"/>
      </w:numPr>
    </w:pPr>
  </w:style>
  <w:style w:type="paragraph" w:styleId="BlockText">
    <w:name w:val="Block Text"/>
    <w:basedOn w:val="Normal"/>
    <w:rsid w:val="00FB34A8"/>
    <w:pPr>
      <w:spacing w:after="120"/>
      <w:ind w:left="1440" w:right="1440"/>
    </w:pPr>
  </w:style>
  <w:style w:type="character" w:customStyle="1" w:styleId="Subscript">
    <w:name w:val="Subscript"/>
    <w:basedOn w:val="DefaultParagraphFont"/>
    <w:rsid w:val="00FB34A8"/>
    <w:rPr>
      <w:sz w:val="16"/>
      <w:vertAlign w:val="subscript"/>
    </w:rPr>
  </w:style>
  <w:style w:type="character" w:customStyle="1" w:styleId="Superscript">
    <w:name w:val="Superscript"/>
    <w:basedOn w:val="DefaultParagraphFont"/>
    <w:rsid w:val="00FB34A8"/>
    <w:rPr>
      <w:sz w:val="16"/>
      <w:vertAlign w:val="superscript"/>
    </w:rPr>
  </w:style>
  <w:style w:type="character" w:customStyle="1" w:styleId="Symbols">
    <w:name w:val="Symbols"/>
    <w:basedOn w:val="DefaultParagraphFont"/>
    <w:rsid w:val="00FB34A8"/>
    <w:rPr>
      <w:rFonts w:ascii="Symbol" w:hAnsi="Symbol"/>
    </w:rPr>
  </w:style>
  <w:style w:type="character" w:customStyle="1" w:styleId="MenuOptions">
    <w:name w:val="Menu Options"/>
    <w:basedOn w:val="DefaultParagraphFont"/>
    <w:rsid w:val="00FB34A8"/>
    <w:rPr>
      <w:rFonts w:ascii="Arial Narrow" w:hAnsi="Arial Narrow"/>
      <w:smallCaps/>
    </w:rPr>
  </w:style>
  <w:style w:type="character" w:customStyle="1" w:styleId="Buttons">
    <w:name w:val="Buttons"/>
    <w:basedOn w:val="DefaultParagraphFont"/>
    <w:rsid w:val="00FB34A8"/>
    <w:rPr>
      <w:b/>
    </w:rPr>
  </w:style>
  <w:style w:type="character" w:customStyle="1" w:styleId="Underlined">
    <w:name w:val="Underlined"/>
    <w:basedOn w:val="DefaultParagraphFont"/>
    <w:rsid w:val="00FB34A8"/>
    <w:rPr>
      <w:u w:val="single"/>
    </w:rPr>
  </w:style>
  <w:style w:type="paragraph" w:customStyle="1" w:styleId="TableBodyTextRight">
    <w:name w:val="Table Body Text Right"/>
    <w:basedOn w:val="TableBodyText"/>
    <w:rsid w:val="00FB34A8"/>
    <w:pPr>
      <w:widowControl w:val="0"/>
      <w:autoSpaceDE w:val="0"/>
      <w:autoSpaceDN w:val="0"/>
      <w:adjustRightInd w:val="0"/>
      <w:jc w:val="right"/>
    </w:pPr>
    <w:rPr>
      <w:rFonts w:cs="Arial"/>
      <w:szCs w:val="18"/>
    </w:rPr>
  </w:style>
  <w:style w:type="paragraph" w:customStyle="1" w:styleId="CopyrightText">
    <w:name w:val="Copyright Text"/>
    <w:basedOn w:val="BodyText"/>
    <w:rsid w:val="00FB34A8"/>
    <w:rPr>
      <w:sz w:val="18"/>
    </w:rPr>
  </w:style>
  <w:style w:type="paragraph" w:customStyle="1" w:styleId="BodySmallRight">
    <w:name w:val="Body Small Right"/>
    <w:basedOn w:val="BodyTextRight"/>
    <w:rsid w:val="00FB34A8"/>
    <w:rPr>
      <w:sz w:val="18"/>
      <w:szCs w:val="18"/>
    </w:rPr>
  </w:style>
  <w:style w:type="paragraph" w:customStyle="1" w:styleId="MarginEdition">
    <w:name w:val="Margin Edition"/>
    <w:basedOn w:val="MarginNote"/>
    <w:rsid w:val="00FB34A8"/>
    <w:pPr>
      <w:spacing w:before="0" w:after="0"/>
    </w:pPr>
    <w:rPr>
      <w:rFonts w:ascii="Times New Roman" w:hAnsi="Times New Roman"/>
      <w:color w:val="999999"/>
    </w:rPr>
  </w:style>
  <w:style w:type="paragraph" w:customStyle="1" w:styleId="Spacer">
    <w:name w:val="Spacer"/>
    <w:basedOn w:val="Normal"/>
    <w:rsid w:val="00FB34A8"/>
    <w:rPr>
      <w:sz w:val="2"/>
      <w:szCs w:val="2"/>
    </w:rPr>
  </w:style>
  <w:style w:type="character" w:customStyle="1" w:styleId="Small">
    <w:name w:val="Small"/>
    <w:basedOn w:val="DefaultParagraphFont"/>
    <w:rsid w:val="00FB34A8"/>
    <w:rPr>
      <w:sz w:val="16"/>
    </w:rPr>
  </w:style>
  <w:style w:type="paragraph" w:customStyle="1" w:styleId="WideTable">
    <w:name w:val="Wide Table"/>
    <w:basedOn w:val="Normal"/>
    <w:rsid w:val="00FB34A8"/>
    <w:pPr>
      <w:ind w:left="-1418"/>
    </w:pPr>
    <w:rPr>
      <w:sz w:val="2"/>
      <w:szCs w:val="2"/>
    </w:rPr>
  </w:style>
  <w:style w:type="character" w:styleId="PageNumber">
    <w:name w:val="page number"/>
    <w:basedOn w:val="DefaultParagraphFont"/>
    <w:rsid w:val="00FB34A8"/>
  </w:style>
  <w:style w:type="paragraph" w:styleId="Quote">
    <w:name w:val="Quote"/>
    <w:basedOn w:val="Heading1"/>
    <w:link w:val="QuoteChar"/>
    <w:qFormat/>
    <w:rsid w:val="00FB34A8"/>
    <w:rPr>
      <w:b w:val="0"/>
      <w:sz w:val="72"/>
      <w:szCs w:val="72"/>
      <w:lang w:val="en-NZ"/>
    </w:rPr>
  </w:style>
  <w:style w:type="character" w:customStyle="1" w:styleId="QuoteChar">
    <w:name w:val="Quote Char"/>
    <w:basedOn w:val="DefaultParagraphFont"/>
    <w:link w:val="Quote"/>
    <w:rsid w:val="00FB3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4A8"/>
    <w:pPr>
      <w:pageBreakBefore/>
    </w:pPr>
  </w:style>
  <w:style w:type="paragraph" w:customStyle="1" w:styleId="Border">
    <w:name w:val="Border"/>
    <w:basedOn w:val="Normal"/>
    <w:qFormat/>
    <w:rsid w:val="00FB3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4A8"/>
    <w:rPr>
      <w:b/>
      <w:bCs/>
      <w:i/>
      <w:iCs/>
      <w:color w:val="auto"/>
    </w:rPr>
  </w:style>
  <w:style w:type="paragraph" w:styleId="IntenseQuote">
    <w:name w:val="Intense Quote"/>
    <w:basedOn w:val="Normal"/>
    <w:next w:val="Normal"/>
    <w:link w:val="IntenseQuoteChar"/>
    <w:uiPriority w:val="30"/>
    <w:qFormat/>
    <w:rsid w:val="00FB3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4A8"/>
    <w:rPr>
      <w:smallCaps/>
      <w:color w:val="auto"/>
      <w:u w:val="single"/>
    </w:rPr>
  </w:style>
  <w:style w:type="character" w:styleId="IntenseReference">
    <w:name w:val="Intense Reference"/>
    <w:basedOn w:val="DefaultParagraphFont"/>
    <w:uiPriority w:val="32"/>
    <w:qFormat/>
    <w:rsid w:val="00FB34A8"/>
    <w:rPr>
      <w:b/>
      <w:bCs/>
      <w:smallCaps/>
      <w:color w:val="auto"/>
      <w:spacing w:val="5"/>
      <w:u w:val="single"/>
    </w:rPr>
  </w:style>
  <w:style w:type="paragraph" w:customStyle="1" w:styleId="2ColumnHeading">
    <w:name w:val="2Column Heading"/>
    <w:basedOn w:val="BodyText"/>
    <w:qFormat/>
    <w:rsid w:val="00FB34A8"/>
    <w:pPr>
      <w:spacing w:after="60"/>
      <w:ind w:left="-2268"/>
    </w:pPr>
    <w:rPr>
      <w:b/>
    </w:rPr>
  </w:style>
  <w:style w:type="paragraph" w:customStyle="1" w:styleId="Heading1TOC">
    <w:name w:val="Heading1 TOC"/>
    <w:basedOn w:val="Normal"/>
    <w:qFormat/>
    <w:rsid w:val="00FB34A8"/>
    <w:pPr>
      <w:spacing w:before="240" w:after="120"/>
    </w:pPr>
    <w:rPr>
      <w:rFonts w:ascii="Times New Roman" w:hAnsi="Times New Roman"/>
      <w:b/>
      <w:sz w:val="32"/>
    </w:rPr>
  </w:style>
  <w:style w:type="paragraph" w:customStyle="1" w:styleId="Heading2TOC">
    <w:name w:val="Heading2 TOC"/>
    <w:basedOn w:val="Normal"/>
    <w:qFormat/>
    <w:rsid w:val="00FB34A8"/>
    <w:pPr>
      <w:spacing w:before="240" w:after="60"/>
    </w:pPr>
    <w:rPr>
      <w:rFonts w:ascii="Times New Roman" w:hAnsi="Times New Roman"/>
      <w:b/>
      <w:sz w:val="28"/>
    </w:rPr>
  </w:style>
  <w:style w:type="character" w:customStyle="1" w:styleId="Underline">
    <w:name w:val="Underline"/>
    <w:basedOn w:val="DefaultParagraphFont"/>
    <w:qFormat/>
    <w:rsid w:val="00FB34A8"/>
    <w:rPr>
      <w:u w:val="single"/>
    </w:rPr>
  </w:style>
  <w:style w:type="character" w:customStyle="1" w:styleId="BoldandItalics">
    <w:name w:val="Bold and Italics"/>
    <w:qFormat/>
    <w:rsid w:val="00FB34A8"/>
    <w:rPr>
      <w:b/>
      <w:i/>
      <w:u w:val="none"/>
    </w:rPr>
  </w:style>
  <w:style w:type="paragraph" w:styleId="BalloonText">
    <w:name w:val="Balloon Text"/>
    <w:basedOn w:val="Normal"/>
    <w:link w:val="BalloonTextChar"/>
    <w:rsid w:val="00FB34A8"/>
    <w:rPr>
      <w:rFonts w:ascii="Tahoma" w:hAnsi="Tahoma" w:cs="Tahoma"/>
      <w:sz w:val="16"/>
      <w:szCs w:val="16"/>
    </w:rPr>
  </w:style>
  <w:style w:type="character" w:customStyle="1" w:styleId="BalloonTextChar">
    <w:name w:val="Balloon Text Char"/>
    <w:basedOn w:val="DefaultParagraphFont"/>
    <w:link w:val="BalloonText"/>
    <w:rsid w:val="00FB3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4A8"/>
    <w:rPr>
      <w:b/>
      <w:color w:val="660033"/>
      <w:spacing w:val="0"/>
    </w:rPr>
  </w:style>
  <w:style w:type="paragraph" w:customStyle="1" w:styleId="Nameditemlist">
    <w:name w:val="Named item list"/>
    <w:basedOn w:val="BodyText"/>
    <w:qFormat/>
    <w:rsid w:val="00FB34A8"/>
    <w:pPr>
      <w:tabs>
        <w:tab w:val="left" w:pos="2835"/>
      </w:tabs>
      <w:ind w:left="2835" w:hanging="2835"/>
    </w:pPr>
  </w:style>
  <w:style w:type="paragraph" w:customStyle="1" w:styleId="BodyTextnopadding">
    <w:name w:val="Body Text no padding"/>
    <w:basedOn w:val="BodyText"/>
    <w:qFormat/>
    <w:rsid w:val="00FB34A8"/>
    <w:pPr>
      <w:spacing w:before="0" w:after="0"/>
    </w:pPr>
  </w:style>
  <w:style w:type="character" w:styleId="Hyperlink">
    <w:name w:val="Hyperlink"/>
    <w:basedOn w:val="DefaultParagraphFont"/>
    <w:uiPriority w:val="99"/>
    <w:unhideWhenUsed/>
    <w:rsid w:val="001F1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5429</Characters>
  <Application>Microsoft Office Word</Application>
  <DocSecurity>0</DocSecurity>
  <Lines>118</Lines>
  <Paragraphs>83</Paragraphs>
  <ScaleCrop>false</ScaleCrop>
  <Company>Author-it Software Corporation Ltd.</Company>
  <LinksUpToDate>false</LinksUpToDate>
  <CharactersWithSpaces>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MSL973004 Perform aseptic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2018-12-11T03:12:00Z</dcterms:created>
  <dcterms:modified xsi:type="dcterms:W3CDTF">2018-12-11T03:12:00Z</dcterms:modified>
</cp:coreProperties>
</file>