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077E" w:rsidP="007907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MSL973002 Prepare working solutions</w:t>
      </w:r>
      <w:r>
        <w:fldChar w:fldCharType="end"/>
      </w:r>
    </w:p>
    <w:p w:rsidR="0079077E" w:rsidP="0079077E">
      <w:pPr>
        <w:pStyle w:val="Version"/>
        <w:sectPr w:rsidSect="000925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25E7" w:rsidP="000925E7">
      <w:pPr>
        <w:pStyle w:val="SuperHeading"/>
      </w:pPr>
      <w:r w:rsidRPr="000925E7">
        <w:t>MSL973002 Prepare working solutions</w:t>
      </w:r>
    </w:p>
    <w:p w:rsidR="00000000" w:rsidRPr="000925E7" w:rsidP="000925E7">
      <w:pPr>
        <w:pStyle w:val="Heading1"/>
      </w:pPr>
      <w:bookmarkStart w:id="1" w:name="O_890434"/>
      <w:bookmarkEnd w:id="1"/>
      <w:r w:rsidRPr="000925E7">
        <w:t>Modification History</w:t>
      </w:r>
    </w:p>
    <w:p w:rsidR="00000000" w:rsidRPr="000925E7" w:rsidP="0079077E">
      <w:pPr>
        <w:pStyle w:val="BodyText"/>
      </w:pPr>
      <w:r w:rsidRPr="000925E7">
        <w:t xml:space="preserve">Release 1. Supersedes and is equivalent to MSL973002A Prepare working solutions  </w:t>
      </w:r>
    </w:p>
    <w:p w:rsidR="00000000" w:rsidRPr="000925E7" w:rsidP="000925E7">
      <w:pPr>
        <w:pStyle w:val="Heading1"/>
      </w:pPr>
      <w:bookmarkStart w:id="2" w:name="O_890442"/>
      <w:bookmarkEnd w:id="2"/>
      <w:r w:rsidRPr="000925E7">
        <w:t>Application</w:t>
      </w:r>
    </w:p>
    <w:p w:rsidR="00000000" w:rsidRPr="000925E7" w:rsidP="0079077E">
      <w:pPr>
        <w:pStyle w:val="BodyText"/>
      </w:pPr>
      <w:r w:rsidRPr="000925E7">
        <w:t>This unit of competency covers the ability to prepare working solutions and to check that existing stocks of solutions are s</w:t>
      </w:r>
      <w:r w:rsidRPr="000925E7">
        <w:t>uitable for use. Working solutions include those required to perform laboratory tests. Personnel are required to calculate quantities and make dilutions.</w:t>
      </w:r>
    </w:p>
    <w:p w:rsidR="00000000" w:rsidRPr="000925E7" w:rsidP="0079077E">
      <w:pPr>
        <w:pStyle w:val="BodyText"/>
      </w:pPr>
      <w:r w:rsidRPr="000925E7">
        <w:t xml:space="preserve">This unit of competency is applicable to laboratory assistants working in all industry sectors. </w:t>
      </w:r>
    </w:p>
    <w:p w:rsidR="00000000" w:rsidRPr="000925E7" w:rsidP="0079077E">
      <w:pPr>
        <w:pStyle w:val="BodyText"/>
      </w:pPr>
      <w:r w:rsidRPr="000925E7">
        <w:t>Whi</w:t>
      </w:r>
      <w:r w:rsidRPr="000925E7">
        <w:t>le no specific licensing or certification requirements apply to this unit at the time of publication, laboratory operations are governed by relevant legislation, regulations and/or external accreditation requirements. Local requirements should be checked.</w:t>
      </w:r>
    </w:p>
    <w:p w:rsidR="00000000" w:rsidRPr="000925E7" w:rsidP="000925E7">
      <w:pPr>
        <w:pStyle w:val="Heading1"/>
      </w:pPr>
      <w:bookmarkStart w:id="3" w:name="O_890441"/>
      <w:bookmarkEnd w:id="3"/>
      <w:r w:rsidRPr="000925E7">
        <w:t>Pre-requisite Unit</w:t>
      </w:r>
    </w:p>
    <w:p w:rsidR="00000000" w:rsidRPr="000925E7" w:rsidP="0079077E">
      <w:pPr>
        <w:pStyle w:val="BodyText"/>
      </w:pPr>
      <w:r w:rsidRPr="000925E7">
        <w:t>Nil</w:t>
      </w:r>
    </w:p>
    <w:p w:rsidR="00000000" w:rsidRPr="000925E7" w:rsidP="000925E7">
      <w:pPr>
        <w:pStyle w:val="Heading1"/>
      </w:pPr>
      <w:bookmarkStart w:id="4" w:name="O_890440"/>
      <w:bookmarkEnd w:id="4"/>
      <w:r w:rsidRPr="000925E7">
        <w:t>Competency Field</w:t>
      </w:r>
    </w:p>
    <w:p w:rsidR="00000000" w:rsidRPr="000925E7" w:rsidP="0079077E">
      <w:pPr>
        <w:pStyle w:val="BodyText"/>
      </w:pPr>
      <w:r w:rsidRPr="000925E7">
        <w:t>Testing</w:t>
      </w:r>
    </w:p>
    <w:p w:rsidR="00000000" w:rsidRPr="000925E7" w:rsidP="000925E7">
      <w:pPr>
        <w:pStyle w:val="Heading1"/>
      </w:pPr>
      <w:bookmarkStart w:id="5" w:name="O_890439"/>
      <w:bookmarkEnd w:id="5"/>
      <w:r w:rsidRPr="000925E7">
        <w:t>Unit Sector</w:t>
      </w:r>
    </w:p>
    <w:p w:rsidR="00000000" w:rsidRPr="000925E7" w:rsidP="000925E7">
      <w:pPr>
        <w:pStyle w:val="Heading1"/>
      </w:pPr>
      <w:bookmarkStart w:id="6" w:name="O_890438"/>
      <w:bookmarkEnd w:id="6"/>
      <w:r w:rsidRPr="000925E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92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t>Performance criteria describe the performance needed</w:t>
            </w:r>
            <w:r w:rsidRPr="000925E7">
              <w:t xml:space="preserve"> to demonstrate achievement of the element.</w:t>
            </w:r>
          </w:p>
        </w:tc>
      </w:tr>
      <w:tr w:rsidTr="00092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5E7" w:rsidP="000925E7">
            <w:pPr>
              <w:pStyle w:val="BodyText"/>
            </w:pPr>
            <w:r w:rsidRPr="000925E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rPr>
                <w:rStyle w:val="SpecialBold"/>
              </w:rPr>
              <w:t>Make up working solutions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t>Identify the relevant standard methods for solution preparation</w:t>
            </w:r>
          </w:p>
        </w:tc>
      </w:tr>
      <w:tr w:rsidTr="00092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t xml:space="preserve">Assemble specified laboratory equipment </w:t>
            </w:r>
          </w:p>
        </w:tc>
      </w:tr>
      <w:tr w:rsidTr="00092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t>Select and prepare materials and solvent of specified purity</w:t>
            </w:r>
          </w:p>
        </w:tc>
      </w:tr>
      <w:tr w:rsidTr="00092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t xml:space="preserve">Measure appropriate quantities of reagents for solution </w:t>
            </w:r>
            <w:r w:rsidRPr="000925E7">
              <w:t>preparation and record data</w:t>
            </w:r>
          </w:p>
        </w:tc>
      </w:tr>
      <w:tr w:rsidTr="00092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t>Prepare labels and log solution details in laboratory register</w:t>
            </w:r>
          </w:p>
        </w:tc>
      </w:tr>
      <w:tr w:rsidTr="00092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5E7" w:rsidP="000925E7">
            <w:pPr>
              <w:pStyle w:val="BodyText"/>
            </w:pPr>
            <w:r w:rsidRPr="000925E7">
              <w:t>Transfer solutions to appro</w:t>
            </w:r>
            <w:r w:rsidRPr="000925E7">
              <w:t>priately labelled containers</w:t>
            </w:r>
          </w:p>
        </w:tc>
      </w:tr>
    </w:tbl>
    <w:p w:rsidR="00000000" w:rsidRPr="000925E7" w:rsidP="000925E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92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5E7" w:rsidP="000925E7">
            <w:pPr>
              <w:pStyle w:val="BodyText"/>
            </w:pPr>
            <w:r w:rsidRPr="000925E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rPr>
                <w:rStyle w:val="SpecialBold"/>
              </w:rPr>
              <w:t>Check existing stock of solutions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t>Monitor shelf life of working solutions and identify those that are unfit for use according to laboratory procedures</w:t>
            </w:r>
          </w:p>
        </w:tc>
      </w:tr>
      <w:tr w:rsidTr="00092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5E7" w:rsidP="000925E7">
            <w:pPr>
              <w:pStyle w:val="BodyText"/>
            </w:pPr>
            <w:r w:rsidRPr="000925E7">
              <w:t>Replace out-of-date or reject solutions according to laboratory procedures</w:t>
            </w:r>
          </w:p>
        </w:tc>
      </w:tr>
    </w:tbl>
    <w:p w:rsidR="00000000" w:rsidRPr="000925E7" w:rsidP="000925E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92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5E7" w:rsidP="000925E7">
            <w:pPr>
              <w:pStyle w:val="BodyText"/>
            </w:pPr>
            <w:r w:rsidRPr="000925E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t>Use appropriate safety procedures and personal protective equipment (PPE) to ensure personal safety and that of other laboratory personnel</w:t>
            </w:r>
          </w:p>
        </w:tc>
      </w:tr>
      <w:tr w:rsidTr="00092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t>Store reagents and clean/store glassware and equipment in accordance with workplace procedures</w:t>
            </w:r>
          </w:p>
        </w:tc>
      </w:tr>
      <w:tr w:rsidTr="00092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t>Minimise generation of waste and environmental impacts</w:t>
            </w:r>
          </w:p>
        </w:tc>
      </w:tr>
      <w:tr w:rsidTr="00092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t>Clean up spills using appropriate techniques</w:t>
            </w:r>
          </w:p>
        </w:tc>
      </w:tr>
      <w:tr w:rsidTr="00092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5E7" w:rsidP="000925E7">
            <w:pPr>
              <w:pStyle w:val="BodyText"/>
            </w:pPr>
            <w:r w:rsidRPr="000925E7">
              <w:t>Ensure the safe collection of laboratory and hazardous waste for subsequent disposal</w:t>
            </w:r>
          </w:p>
        </w:tc>
      </w:tr>
    </w:tbl>
    <w:p w:rsidR="00000000" w:rsidRPr="000925E7" w:rsidP="000925E7">
      <w:pPr>
        <w:pStyle w:val="BodyText"/>
      </w:pPr>
    </w:p>
    <w:p w:rsidR="00000000" w:rsidRPr="000925E7" w:rsidP="000925E7">
      <w:pPr>
        <w:pStyle w:val="AllowPageBreak"/>
      </w:pPr>
    </w:p>
    <w:p w:rsidR="00000000" w:rsidRPr="000925E7" w:rsidP="000925E7">
      <w:pPr>
        <w:pStyle w:val="Heading1"/>
      </w:pPr>
      <w:bookmarkStart w:id="7" w:name="O_890437"/>
      <w:bookmarkEnd w:id="7"/>
      <w:r w:rsidRPr="000925E7">
        <w:t>Foundation Skills</w:t>
      </w:r>
    </w:p>
    <w:p w:rsidR="00000000" w:rsidRPr="000925E7" w:rsidP="0079077E">
      <w:pPr>
        <w:pStyle w:val="BodyText"/>
      </w:pPr>
      <w:r w:rsidRPr="000925E7">
        <w:t>This section describes those language, literacy, numeracy and employment skills that are essential to performance.</w:t>
      </w:r>
    </w:p>
    <w:p w:rsidR="00000000" w:rsidRPr="000925E7" w:rsidP="0079077E">
      <w:pPr>
        <w:pStyle w:val="BodyText"/>
      </w:pPr>
      <w:r w:rsidRPr="000925E7">
        <w:t xml:space="preserve">Foundation skills </w:t>
      </w:r>
      <w:r w:rsidRPr="000925E7">
        <w:t>essential to performance are explicit in the performance criteria of this unit of competency.</w:t>
      </w:r>
    </w:p>
    <w:p w:rsidR="00000000" w:rsidRPr="000925E7" w:rsidP="000925E7">
      <w:pPr>
        <w:pStyle w:val="Heading1"/>
      </w:pPr>
      <w:bookmarkStart w:id="8" w:name="O_890436"/>
      <w:bookmarkEnd w:id="8"/>
      <w:r w:rsidRPr="000925E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44"/>
        <w:gridCol w:w="6552"/>
      </w:tblGrid>
      <w:tr w:rsidTr="007907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t xml:space="preserve">This field allows for different work environments and conditions that may affect performance. Essential operating conditions </w:t>
            </w:r>
            <w:r w:rsidRPr="000925E7">
              <w:t xml:space="preserve">that may be present (depending on the work situation, needs of the </w:t>
            </w:r>
            <w:r w:rsidRPr="000925E7">
              <w:t>candidate, accessibility of the item, and local industry and regional contexts) are included.</w:t>
            </w:r>
          </w:p>
        </w:tc>
      </w:tr>
      <w:tr w:rsidTr="007907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5E7" w:rsidP="000925E7">
            <w:pPr>
              <w:pStyle w:val="BodyText"/>
            </w:pPr>
            <w:r w:rsidRPr="000925E7">
              <w:t>Standards, codes, procedures and/or workplace requirements include the latest version of one or more of:</w:t>
            </w:r>
          </w:p>
          <w:p w:rsidR="00000000" w:rsidRPr="000925E7" w:rsidP="000925E7">
            <w:pPr>
              <w:pStyle w:val="ListBullet"/>
            </w:pPr>
            <w:r w:rsidRPr="000925E7">
              <w:t>Australian and international standards covering the requirements for the competence of testing and calibration laboratories, laboratory safety, qualit</w:t>
            </w:r>
            <w:r w:rsidRPr="000925E7">
              <w:t>y management and laboratory glassware</w:t>
            </w:r>
          </w:p>
          <w:p w:rsidR="00000000" w:rsidRPr="000925E7" w:rsidP="000925E7">
            <w:pPr>
              <w:pStyle w:val="ListBullet"/>
            </w:pPr>
            <w:r w:rsidRPr="000925E7">
              <w:t>national work health and safety (WHS) standards and codes of practice, national environmental protection measures, and national measurement regulations and guidelines</w:t>
            </w:r>
          </w:p>
          <w:p w:rsidR="00000000" w:rsidRPr="000925E7" w:rsidP="000925E7">
            <w:pPr>
              <w:pStyle w:val="ListBullet"/>
            </w:pPr>
            <w:r w:rsidRPr="000925E7">
              <w:t xml:space="preserve">specific codes, guidelines and procedures, such as </w:t>
            </w:r>
            <w:r w:rsidRPr="000925E7">
              <w:t>National Association of Testing Authorities (NATA) accreditation requirements and principles of good laboratory practice (GLP)</w:t>
            </w:r>
          </w:p>
          <w:p w:rsidR="00000000" w:rsidRPr="000925E7" w:rsidP="000925E7">
            <w:pPr>
              <w:pStyle w:val="ListBullet"/>
            </w:pPr>
            <w:r w:rsidRPr="000925E7">
              <w:t>workplace documents, such as standard operating procedures (SOPs); quality and equipment manuals; calibration and maintenance sch</w:t>
            </w:r>
            <w:r w:rsidRPr="000925E7">
              <w:t>edules; material safety data sheets (MSDS); safety procedures; material, production and product specifications;, production and laboratory schedules; workplace recording and reporting procedures; and waste minimisation and safe disposal procedures</w:t>
            </w:r>
          </w:p>
          <w:p w:rsidR="00000000" w:rsidRPr="000925E7" w:rsidP="000925E7">
            <w:pPr>
              <w:pStyle w:val="ListBullet"/>
            </w:pPr>
            <w:r w:rsidRPr="000925E7">
              <w:t>workplac</w:t>
            </w:r>
            <w:r w:rsidRPr="000925E7">
              <w:t>e procedures and standard methods for preparing working solutions</w:t>
            </w:r>
          </w:p>
          <w:p w:rsidR="00000000" w:rsidP="000925E7">
            <w:pPr>
              <w:pStyle w:val="BodyText"/>
              <w:rPr>
                <w:lang w:val="en-NZ"/>
              </w:rPr>
            </w:pPr>
          </w:p>
        </w:tc>
      </w:tr>
      <w:tr w:rsidTr="007907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rPr>
                <w:rStyle w:val="SpecialBold"/>
              </w:rPr>
              <w:t xml:space="preserve">Working solutions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5E7" w:rsidP="000925E7">
            <w:pPr>
              <w:pStyle w:val="BodyText"/>
            </w:pPr>
            <w:r w:rsidRPr="000925E7">
              <w:t>Working solutions include, but are not limited to, one or more of:</w:t>
            </w:r>
          </w:p>
          <w:p w:rsidR="00000000" w:rsidRPr="000925E7" w:rsidP="000925E7">
            <w:pPr>
              <w:pStyle w:val="ListBullet"/>
            </w:pPr>
            <w:r w:rsidRPr="000925E7">
              <w:t xml:space="preserve">solutions required for diagnostic/analytical and limit tests in food and chemical laboratories, such </w:t>
            </w:r>
            <w:r w:rsidRPr="000925E7">
              <w:t>as sulphates, chlorides and heavy metals</w:t>
            </w:r>
          </w:p>
          <w:p w:rsidR="00000000" w:rsidRPr="000925E7" w:rsidP="000925E7">
            <w:pPr>
              <w:pStyle w:val="ListBullet"/>
            </w:pPr>
            <w:r w:rsidRPr="000925E7">
              <w:t>staining solutions for standard diagnostic/analytical procedures in biomedical/environmental laboratories, such as cell staining, fixation of cells and tissues, suspension of cells and titrimetric indicators</w:t>
            </w:r>
          </w:p>
          <w:p w:rsidR="00000000" w:rsidRPr="000925E7" w:rsidP="000925E7">
            <w:pPr>
              <w:pStyle w:val="ListBullet"/>
            </w:pPr>
            <w:r w:rsidRPr="000925E7">
              <w:t>solutio</w:t>
            </w:r>
            <w:r w:rsidRPr="000925E7">
              <w:t>ns required for laboratory maintenance and disinfection, such as 70% ethanol and hypochlorite</w:t>
            </w:r>
          </w:p>
          <w:p w:rsidR="00000000" w:rsidP="000925E7">
            <w:pPr>
              <w:pStyle w:val="BodyText"/>
              <w:rPr>
                <w:lang w:val="en-NZ"/>
              </w:rPr>
            </w:pPr>
          </w:p>
        </w:tc>
      </w:tr>
      <w:tr w:rsidTr="007907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rPr>
                <w:rStyle w:val="SpecialBold"/>
              </w:rPr>
              <w:t>Safety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5E7" w:rsidP="000925E7">
            <w:pPr>
              <w:pStyle w:val="BodyText"/>
            </w:pPr>
            <w:r w:rsidRPr="000925E7">
              <w:t>Safety procedures include, but are not limited to, one or more of:</w:t>
            </w:r>
          </w:p>
          <w:p w:rsidR="00000000" w:rsidRPr="000925E7" w:rsidP="000925E7">
            <w:pPr>
              <w:pStyle w:val="ListBullet"/>
            </w:pPr>
            <w:r w:rsidRPr="000925E7">
              <w:t>use of PPE, such as safety glasses, gloves and coveralls</w:t>
            </w:r>
          </w:p>
          <w:p w:rsidR="00000000" w:rsidRPr="000925E7" w:rsidP="000925E7">
            <w:pPr>
              <w:pStyle w:val="ListBullet"/>
            </w:pPr>
            <w:r w:rsidRPr="000925E7">
              <w:t>correctly labelling reagents and hazardous materials</w:t>
            </w:r>
          </w:p>
          <w:p w:rsidR="00000000" w:rsidRPr="000925E7" w:rsidP="000925E7">
            <w:pPr>
              <w:pStyle w:val="ListBullet"/>
            </w:pPr>
            <w:r w:rsidRPr="000925E7">
              <w:t>handling and storing hazardous material and equipment in accordance with labels, MSDS, manufacturer instructions and workplace procedures and regulations</w:t>
            </w:r>
          </w:p>
          <w:p w:rsidR="00000000" w:rsidRPr="000925E7" w:rsidP="000925E7">
            <w:pPr>
              <w:pStyle w:val="ListBullet"/>
            </w:pPr>
            <w:r w:rsidRPr="000925E7">
              <w:t>regular cleaning and/or decontamination of equipm</w:t>
            </w:r>
            <w:r w:rsidRPr="000925E7">
              <w:t>ent</w:t>
            </w:r>
          </w:p>
          <w:p w:rsidR="00000000" w:rsidRPr="000925E7" w:rsidP="000925E7">
            <w:pPr>
              <w:pStyle w:val="ListBullet"/>
            </w:pPr>
            <w:r w:rsidRPr="000925E7">
              <w:t>prompt clean-up of spills in accordance workplace procedures</w:t>
            </w:r>
          </w:p>
          <w:p w:rsidR="00000000" w:rsidP="000925E7">
            <w:pPr>
              <w:pStyle w:val="BodyText"/>
              <w:rPr>
                <w:lang w:val="en-NZ"/>
              </w:rPr>
            </w:pPr>
          </w:p>
        </w:tc>
      </w:tr>
      <w:tr w:rsidTr="007907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5E7">
            <w:pPr>
              <w:pStyle w:val="BodyText"/>
              <w:rPr>
                <w:lang w:val="en-NZ"/>
              </w:rPr>
            </w:pPr>
            <w:r w:rsidRPr="000925E7">
              <w:rPr>
                <w:rStyle w:val="SpecialBold"/>
              </w:rPr>
              <w:t xml:space="preserve">WHS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5E7" w:rsidP="000925E7">
            <w:pPr>
              <w:pStyle w:val="BodyText"/>
            </w:pPr>
            <w:r w:rsidRPr="000925E7">
              <w:t>WHS and environmental management requirements include:</w:t>
            </w:r>
          </w:p>
          <w:p w:rsidR="00000000" w:rsidRPr="000925E7" w:rsidP="000925E7">
            <w:pPr>
              <w:pStyle w:val="BodyText"/>
            </w:pPr>
            <w:r w:rsidRPr="000925E7">
              <w:rPr>
                <w:rStyle w:val="Symbols"/>
              </w:rPr>
              <w:t></w:t>
            </w:r>
            <w:r w:rsidRPr="000925E7">
              <w:rPr>
                <w:rStyle w:val="Symbols"/>
              </w:rPr>
              <w:tab/>
            </w:r>
            <w:r w:rsidRPr="000925E7">
              <w:t xml:space="preserve">complying with WHS and environmental management requirements at all times, which may </w:t>
            </w:r>
            <w:r w:rsidRPr="000925E7">
              <w:t>be imposed through state/territory or federal legislation. These requirements must not be compromised at any time</w:t>
            </w:r>
          </w:p>
          <w:p w:rsidR="00000000" w:rsidRPr="000925E7" w:rsidP="000925E7">
            <w:pPr>
              <w:pStyle w:val="BodyText"/>
            </w:pPr>
            <w:r w:rsidRPr="000925E7">
              <w:rPr>
                <w:rStyle w:val="Symbols"/>
              </w:rPr>
              <w:t></w:t>
            </w:r>
            <w:r w:rsidRPr="000925E7">
              <w:rPr>
                <w:rStyle w:val="Symbols"/>
              </w:rPr>
              <w:tab/>
            </w:r>
            <w:r w:rsidRPr="000925E7">
              <w:t>applying standard precautions relating to the potentially hazardous nature of samples</w:t>
            </w:r>
          </w:p>
          <w:p w:rsidR="00000000" w:rsidRPr="000925E7" w:rsidP="000925E7">
            <w:pPr>
              <w:pStyle w:val="ListBullet"/>
            </w:pPr>
            <w:r w:rsidRPr="000925E7">
              <w:t>accessing and applying current industry understanding of infection control issued by the National Health and Medical Research Council (NHMRC) and State and Territory Departments of Health, where relevant</w:t>
            </w:r>
          </w:p>
          <w:p w:rsidR="00000000" w:rsidRPr="000925E7" w:rsidP="000925E7">
            <w:pPr>
              <w:pStyle w:val="BodyText"/>
            </w:pPr>
          </w:p>
        </w:tc>
      </w:tr>
    </w:tbl>
    <w:p w:rsidR="00000000" w:rsidRPr="000925E7" w:rsidP="000925E7">
      <w:pPr>
        <w:pStyle w:val="BodyText"/>
      </w:pPr>
    </w:p>
    <w:p w:rsidR="00000000" w:rsidRPr="000925E7" w:rsidP="000925E7">
      <w:pPr>
        <w:pStyle w:val="AllowPageBreak"/>
      </w:pPr>
    </w:p>
    <w:p w:rsidR="00000000" w:rsidRPr="000925E7" w:rsidP="000925E7">
      <w:pPr>
        <w:pStyle w:val="Heading1"/>
      </w:pPr>
      <w:bookmarkStart w:id="9" w:name="O_890435"/>
      <w:bookmarkEnd w:id="9"/>
      <w:r w:rsidRPr="000925E7">
        <w:t>Unit Mapping Information</w:t>
      </w:r>
    </w:p>
    <w:p w:rsidR="00000000" w:rsidRPr="000925E7" w:rsidP="0079077E">
      <w:pPr>
        <w:pStyle w:val="BodyText"/>
      </w:pPr>
      <w:r w:rsidRPr="000925E7">
        <w:t xml:space="preserve">Release 1. Supersedes and is equivalent to MSL973002A Prepare working solutions  </w:t>
      </w:r>
    </w:p>
    <w:p w:rsidR="00000000" w:rsidRPr="000925E7" w:rsidP="000925E7">
      <w:pPr>
        <w:pStyle w:val="Heading1"/>
      </w:pPr>
      <w:bookmarkStart w:id="10" w:name="O_890428"/>
      <w:bookmarkEnd w:id="10"/>
      <w:r w:rsidRPr="000925E7">
        <w:t>Links</w:t>
      </w:r>
    </w:p>
    <w:p w:rsidR="00000000" w:rsidRPr="000925E7" w:rsidP="0079077E">
      <w:pPr>
        <w:pStyle w:val="BodyText"/>
      </w:pPr>
      <w:r w:rsidRPr="000925E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"https://vetnet.education.gov.au/Pages/TrainingDocs.aspx?q=5c63a03b-4a6b-4ae5-9560-1e3c5f462baa" </w:instrText>
      </w:r>
      <w:r>
        <w:fldChar w:fldCharType="separate"/>
      </w:r>
      <w:r w:rsidRPr="003D2F51">
        <w:rPr>
          <w:rStyle w:val="Hyperlink"/>
        </w:rPr>
        <w:t>https://vetnet.education.gov.au/Pages/TrainingDocs.aspx?q=5c63a03b-4a6b-4ae5-9560-1e3c5f462baa</w:t>
      </w:r>
      <w:r>
        <w:fldChar w:fldCharType="end"/>
      </w:r>
    </w:p>
    <w:p w:rsidR="00000000" w:rsidRPr="000925E7" w:rsidP="000925E7"/>
    <w:sectPr w:rsidSect="000925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E7" w:rsidRPr="0079077E" w:rsidP="007907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77E" w:rsidP="000925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077E" w:rsidP="000925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9077E" w:rsidP="000925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7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5E7" w:rsidRPr="0079077E" w:rsidP="007907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77E" w:rsidRPr="002D2AF8" w:rsidP="000925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MSL973002 Prepare working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79077E" w:rsidP="000925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10C2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1A5D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5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5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5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5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5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5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5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5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5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5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5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5E7"/>
  </w:style>
  <w:style w:type="character" w:customStyle="1" w:styleId="Heading1Char">
    <w:name w:val="Heading 1 Char"/>
    <w:basedOn w:val="DefaultParagraphFont"/>
    <w:link w:val="Heading1"/>
    <w:rsid w:val="000925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25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5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25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25E7"/>
    <w:rPr>
      <w:b/>
      <w:spacing w:val="0"/>
    </w:rPr>
  </w:style>
  <w:style w:type="paragraph" w:customStyle="1" w:styleId="SuperHeading">
    <w:name w:val="SuperHeading"/>
    <w:basedOn w:val="Normal"/>
    <w:rsid w:val="000925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5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0925E7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0925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5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5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5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5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5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5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5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5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5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5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5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5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5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5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5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25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25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25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5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5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25E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25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5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5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5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5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5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5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5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5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25E7"/>
    <w:rPr>
      <w:i/>
    </w:rPr>
  </w:style>
  <w:style w:type="paragraph" w:styleId="Caption">
    <w:name w:val="caption"/>
    <w:basedOn w:val="BodyText"/>
    <w:next w:val="Normal"/>
    <w:qFormat/>
    <w:rsid w:val="000925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5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5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5E7"/>
  </w:style>
  <w:style w:type="paragraph" w:styleId="TableofFigures">
    <w:name w:val="table of figures"/>
    <w:basedOn w:val="Normal"/>
    <w:next w:val="Normal"/>
    <w:semiHidden/>
    <w:rsid w:val="000925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5E7"/>
    <w:pPr>
      <w:numPr>
        <w:numId w:val="10"/>
      </w:numPr>
    </w:pPr>
  </w:style>
  <w:style w:type="character" w:customStyle="1" w:styleId="WingdingSymbols">
    <w:name w:val="Wingding Symbols"/>
    <w:rsid w:val="000925E7"/>
    <w:rPr>
      <w:rFonts w:ascii="Wingdings" w:hAnsi="Wingdings"/>
    </w:rPr>
  </w:style>
  <w:style w:type="paragraph" w:customStyle="1" w:styleId="TableHeading">
    <w:name w:val="Table Heading"/>
    <w:basedOn w:val="HeadingBase"/>
    <w:rsid w:val="000925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5E7"/>
    <w:rPr>
      <w:color w:val="0033CC"/>
      <w:u w:val="none"/>
    </w:rPr>
  </w:style>
  <w:style w:type="paragraph" w:customStyle="1" w:styleId="BodyTextRight">
    <w:name w:val="Body Text Right"/>
    <w:basedOn w:val="BodyText"/>
    <w:rsid w:val="000925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5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5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5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5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5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5E7"/>
    <w:rPr>
      <w:sz w:val="32"/>
    </w:rPr>
  </w:style>
  <w:style w:type="paragraph" w:customStyle="1" w:styleId="HeadingProcedure">
    <w:name w:val="Heading Procedure"/>
    <w:basedOn w:val="HeadingBase"/>
    <w:next w:val="Normal"/>
    <w:rsid w:val="000925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5E7"/>
    <w:pPr>
      <w:spacing w:before="60" w:after="60"/>
    </w:pPr>
  </w:style>
  <w:style w:type="paragraph" w:styleId="ListContinue">
    <w:name w:val="List Continue"/>
    <w:basedOn w:val="List"/>
    <w:rsid w:val="000925E7"/>
    <w:pPr>
      <w:ind w:firstLine="0"/>
    </w:pPr>
  </w:style>
  <w:style w:type="paragraph" w:customStyle="1" w:styleId="ListNote">
    <w:name w:val="List Note"/>
    <w:basedOn w:val="List"/>
    <w:rsid w:val="000925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5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5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5E7"/>
    <w:rPr>
      <w:rFonts w:ascii="Courier New" w:hAnsi="Courier New"/>
    </w:rPr>
  </w:style>
  <w:style w:type="paragraph" w:customStyle="1" w:styleId="NoteBullet">
    <w:name w:val="Note Bullet"/>
    <w:basedOn w:val="Note"/>
    <w:rsid w:val="000925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5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5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5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5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25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5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5E7"/>
    <w:rPr>
      <w:b/>
      <w:smallCaps/>
    </w:rPr>
  </w:style>
  <w:style w:type="paragraph" w:customStyle="1" w:styleId="TableListNumber">
    <w:name w:val="Table List Number"/>
    <w:basedOn w:val="ListNumber"/>
    <w:rsid w:val="000925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5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5E7"/>
    <w:pPr>
      <w:numPr>
        <w:numId w:val="8"/>
      </w:numPr>
    </w:pPr>
  </w:style>
  <w:style w:type="paragraph" w:customStyle="1" w:styleId="ListAlpha2">
    <w:name w:val="List Alpha 2"/>
    <w:basedOn w:val="List2"/>
    <w:rsid w:val="000925E7"/>
    <w:pPr>
      <w:numPr>
        <w:numId w:val="7"/>
      </w:numPr>
    </w:pPr>
  </w:style>
  <w:style w:type="paragraph" w:styleId="List2">
    <w:name w:val="List 2"/>
    <w:basedOn w:val="BodyText"/>
    <w:rsid w:val="000925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5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5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5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25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25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25E7"/>
    <w:pPr>
      <w:numPr>
        <w:numId w:val="3"/>
      </w:numPr>
    </w:pPr>
  </w:style>
  <w:style w:type="paragraph" w:styleId="ListContinue2">
    <w:name w:val="List Continue 2"/>
    <w:basedOn w:val="List2"/>
    <w:rsid w:val="000925E7"/>
    <w:pPr>
      <w:ind w:firstLine="0"/>
    </w:pPr>
  </w:style>
  <w:style w:type="paragraph" w:styleId="ListContinue3">
    <w:name w:val="List Continue 3"/>
    <w:basedOn w:val="List3"/>
    <w:rsid w:val="000925E7"/>
    <w:pPr>
      <w:ind w:left="1021" w:firstLine="0"/>
    </w:pPr>
  </w:style>
  <w:style w:type="paragraph" w:styleId="ListContinue4">
    <w:name w:val="List Continue 4"/>
    <w:basedOn w:val="List4"/>
    <w:rsid w:val="000925E7"/>
    <w:pPr>
      <w:ind w:firstLine="0"/>
    </w:pPr>
  </w:style>
  <w:style w:type="paragraph" w:styleId="ListContinue5">
    <w:name w:val="List Continue 5"/>
    <w:basedOn w:val="List5"/>
    <w:rsid w:val="000925E7"/>
    <w:pPr>
      <w:ind w:firstLine="0"/>
    </w:pPr>
  </w:style>
  <w:style w:type="paragraph" w:styleId="ListNumber3">
    <w:name w:val="List Number 3"/>
    <w:basedOn w:val="List3"/>
    <w:rsid w:val="000925E7"/>
    <w:pPr>
      <w:numPr>
        <w:numId w:val="4"/>
      </w:numPr>
    </w:pPr>
  </w:style>
  <w:style w:type="paragraph" w:styleId="ListNumber4">
    <w:name w:val="List Number 4"/>
    <w:basedOn w:val="List4"/>
    <w:rsid w:val="000925E7"/>
    <w:pPr>
      <w:numPr>
        <w:numId w:val="5"/>
      </w:numPr>
    </w:pPr>
  </w:style>
  <w:style w:type="paragraph" w:styleId="ListNumber5">
    <w:name w:val="List Number 5"/>
    <w:basedOn w:val="List5"/>
    <w:rsid w:val="000925E7"/>
    <w:pPr>
      <w:numPr>
        <w:numId w:val="6"/>
      </w:numPr>
    </w:pPr>
  </w:style>
  <w:style w:type="paragraph" w:styleId="BlockText">
    <w:name w:val="Block Text"/>
    <w:basedOn w:val="Normal"/>
    <w:rsid w:val="000925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5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5E7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0925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5E7"/>
    <w:rPr>
      <w:b/>
    </w:rPr>
  </w:style>
  <w:style w:type="character" w:customStyle="1" w:styleId="Underlined">
    <w:name w:val="Underlined"/>
    <w:basedOn w:val="DefaultParagraphFont"/>
    <w:rsid w:val="000925E7"/>
    <w:rPr>
      <w:u w:val="single"/>
    </w:rPr>
  </w:style>
  <w:style w:type="paragraph" w:customStyle="1" w:styleId="TableBodyTextRight">
    <w:name w:val="Table Body Text Right"/>
    <w:basedOn w:val="TableBodyText"/>
    <w:rsid w:val="000925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5E7"/>
    <w:rPr>
      <w:sz w:val="18"/>
    </w:rPr>
  </w:style>
  <w:style w:type="paragraph" w:customStyle="1" w:styleId="BodySmallRight">
    <w:name w:val="Body Small Right"/>
    <w:basedOn w:val="BodyTextRight"/>
    <w:rsid w:val="000925E7"/>
    <w:rPr>
      <w:sz w:val="18"/>
      <w:szCs w:val="18"/>
    </w:rPr>
  </w:style>
  <w:style w:type="paragraph" w:customStyle="1" w:styleId="MarginEdition">
    <w:name w:val="Margin Edition"/>
    <w:basedOn w:val="MarginNote"/>
    <w:rsid w:val="000925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5E7"/>
    <w:rPr>
      <w:sz w:val="2"/>
      <w:szCs w:val="2"/>
    </w:rPr>
  </w:style>
  <w:style w:type="character" w:customStyle="1" w:styleId="Small">
    <w:name w:val="Small"/>
    <w:basedOn w:val="DefaultParagraphFont"/>
    <w:rsid w:val="000925E7"/>
    <w:rPr>
      <w:sz w:val="16"/>
    </w:rPr>
  </w:style>
  <w:style w:type="paragraph" w:customStyle="1" w:styleId="WideTable">
    <w:name w:val="Wide Table"/>
    <w:basedOn w:val="Normal"/>
    <w:rsid w:val="000925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5E7"/>
  </w:style>
  <w:style w:type="paragraph" w:styleId="Quote">
    <w:name w:val="Quote"/>
    <w:basedOn w:val="Heading1"/>
    <w:link w:val="QuoteChar"/>
    <w:qFormat/>
    <w:rsid w:val="000925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5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5E7"/>
    <w:pPr>
      <w:pageBreakBefore/>
    </w:pPr>
  </w:style>
  <w:style w:type="paragraph" w:customStyle="1" w:styleId="Border">
    <w:name w:val="Border"/>
    <w:basedOn w:val="Normal"/>
    <w:qFormat/>
    <w:rsid w:val="000925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5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5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5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5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5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5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5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5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5E7"/>
    <w:rPr>
      <w:u w:val="single"/>
    </w:rPr>
  </w:style>
  <w:style w:type="character" w:customStyle="1" w:styleId="BoldandItalics">
    <w:name w:val="Bold and Italics"/>
    <w:qFormat/>
    <w:rsid w:val="000925E7"/>
    <w:rPr>
      <w:b/>
      <w:i/>
      <w:u w:val="none"/>
    </w:rPr>
  </w:style>
  <w:style w:type="paragraph" w:styleId="BalloonText">
    <w:name w:val="Balloon Text"/>
    <w:basedOn w:val="Normal"/>
    <w:link w:val="BalloonTextChar"/>
    <w:rsid w:val="000925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5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5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5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5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5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5E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907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782</Words>
  <Characters>5207</Characters>
  <Application>Microsoft Office Word</Application>
  <DocSecurity>0</DocSecurity>
  <Lines>192</Lines>
  <Paragraphs>96</Paragraphs>
  <ScaleCrop>false</ScaleCrop>
  <Company>Author-it Software Corporation Ltd.</Company>
  <LinksUpToDate>false</LinksUpToDate>
  <CharactersWithSpaces>5893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MSL973002 Prepare working solutions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2018-12-11T02:59:00Z</dcterms:created>
  <dcterms:modified xsi:type="dcterms:W3CDTF">2018-12-11T03:00:00Z</dcterms:modified>
</cp:coreProperties>
</file>