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1D9" w:rsidP="009C71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MSL973002 Prepare working solutions</w:t>
      </w:r>
      <w:r>
        <w:fldChar w:fldCharType="end"/>
      </w:r>
    </w:p>
    <w:p w:rsidR="009C71D9" w:rsidP="009C71D9">
      <w:pPr>
        <w:pStyle w:val="Version"/>
        <w:sectPr w:rsidSect="00486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87B" w:rsidP="0048687B">
      <w:pPr>
        <w:pStyle w:val="SuperHeading"/>
      </w:pPr>
      <w:r w:rsidRPr="0048687B">
        <w:t>Assessment Requirements for MSL973002 Prepare working solutions</w:t>
      </w:r>
    </w:p>
    <w:p w:rsidR="00000000" w:rsidRPr="0048687B" w:rsidP="0048687B">
      <w:pPr>
        <w:pStyle w:val="Heading1"/>
      </w:pPr>
      <w:bookmarkStart w:id="1" w:name="O_890430"/>
      <w:bookmarkEnd w:id="1"/>
      <w:r w:rsidRPr="0048687B">
        <w:t>Modification History</w:t>
      </w:r>
    </w:p>
    <w:p w:rsidR="00000000" w:rsidRPr="0048687B" w:rsidP="009C71D9">
      <w:pPr>
        <w:pStyle w:val="BodyText"/>
      </w:pPr>
      <w:r w:rsidRPr="0048687B">
        <w:t xml:space="preserve">Release 1. Supersedes and is equivalent to MSL973002A Prepare working solutions  </w:t>
      </w:r>
    </w:p>
    <w:p w:rsidR="00000000" w:rsidRPr="0048687B" w:rsidP="0048687B">
      <w:pPr>
        <w:pStyle w:val="Heading1"/>
      </w:pPr>
      <w:bookmarkStart w:id="2" w:name="O_890433"/>
      <w:bookmarkEnd w:id="2"/>
      <w:r w:rsidRPr="0048687B">
        <w:t>Performance Evidence</w:t>
      </w:r>
    </w:p>
    <w:p w:rsidR="00000000" w:rsidRPr="0048687B" w:rsidP="009C71D9">
      <w:pPr>
        <w:pStyle w:val="BodyText"/>
      </w:pPr>
      <w:r w:rsidRPr="0048687B">
        <w:t>Evidence of compet</w:t>
      </w:r>
      <w:r w:rsidRPr="0048687B">
        <w:t>ence in this unit must satisfy all of the requirements of the elements and performance criteria, and include demonstration of:</w:t>
      </w:r>
    </w:p>
    <w:p w:rsidR="00000000" w:rsidRPr="0048687B" w:rsidP="0048687B">
      <w:pPr>
        <w:pStyle w:val="ListBullet"/>
      </w:pPr>
      <w:r w:rsidRPr="0048687B">
        <w:t>safely preparing at least five (5) examples of correctly labelled working solutions, including calculation of the quantities inv</w:t>
      </w:r>
      <w:r w:rsidRPr="0048687B">
        <w:t>olved and any dilutions required</w:t>
      </w:r>
    </w:p>
    <w:p w:rsidR="00000000" w:rsidRPr="0048687B" w:rsidP="0048687B">
      <w:pPr>
        <w:pStyle w:val="ListBullet"/>
      </w:pPr>
      <w:r w:rsidRPr="0048687B">
        <w:t>checking that existing stocks of working solutions and identifying those unfit for use, including:</w:t>
      </w:r>
    </w:p>
    <w:p w:rsidR="00000000" w:rsidRPr="0048687B" w:rsidP="0048687B">
      <w:pPr>
        <w:pStyle w:val="ListBullet2"/>
      </w:pPr>
      <w:r w:rsidRPr="0048687B">
        <w:t>noting turbidity to exclude absorption of moisture</w:t>
      </w:r>
    </w:p>
    <w:p w:rsidR="00000000" w:rsidRPr="0048687B" w:rsidP="0048687B">
      <w:pPr>
        <w:pStyle w:val="ListBullet2"/>
      </w:pPr>
      <w:r w:rsidRPr="0048687B">
        <w:t>noting deposits to exclude microbial contamination or chemical degradati</w:t>
      </w:r>
      <w:r w:rsidRPr="0048687B">
        <w:t>on</w:t>
      </w:r>
    </w:p>
    <w:p w:rsidR="00000000" w:rsidRPr="0048687B" w:rsidP="0048687B">
      <w:pPr>
        <w:pStyle w:val="ListBullet2"/>
      </w:pPr>
      <w:r w:rsidRPr="0048687B">
        <w:t>noting crystals to exclude evaporation</w:t>
      </w:r>
    </w:p>
    <w:p w:rsidR="00000000" w:rsidRPr="0048687B" w:rsidP="0048687B">
      <w:pPr>
        <w:pStyle w:val="ListBullet2"/>
      </w:pPr>
      <w:r w:rsidRPr="0048687B">
        <w:t>noting colour changes indicating a pH shift with solutions containing indicators</w:t>
      </w:r>
    </w:p>
    <w:p w:rsidR="00000000" w:rsidRPr="0048687B" w:rsidP="0048687B">
      <w:pPr>
        <w:pStyle w:val="ListBullet2"/>
      </w:pPr>
      <w:r w:rsidRPr="0048687B">
        <w:t>checking expiry dates on solution containers</w:t>
      </w:r>
    </w:p>
    <w:p w:rsidR="00000000" w:rsidRPr="0048687B" w:rsidP="0048687B">
      <w:pPr>
        <w:pStyle w:val="ListBullet"/>
      </w:pPr>
      <w:r w:rsidRPr="0048687B">
        <w:t>following workplace procedures for the safe use of hazardous chemicals, laboratory glas</w:t>
      </w:r>
      <w:r w:rsidRPr="0048687B">
        <w:t>sware and equipment</w:t>
      </w:r>
    </w:p>
    <w:p w:rsidR="00000000" w:rsidRPr="0048687B" w:rsidP="0048687B">
      <w:pPr>
        <w:pStyle w:val="ListBullet"/>
      </w:pPr>
      <w:r w:rsidRPr="0048687B">
        <w:t>accurately labelling and storing solutions in accordance with workplace procedures</w:t>
      </w:r>
    </w:p>
    <w:p w:rsidR="00000000" w:rsidRPr="0048687B" w:rsidP="0048687B">
      <w:pPr>
        <w:pStyle w:val="ListBullet"/>
      </w:pPr>
      <w:r w:rsidRPr="0048687B">
        <w:t>safely cleaning up spills and collecting/disposing of waste in accordance workplace procedures</w:t>
      </w:r>
    </w:p>
    <w:p w:rsidR="00000000" w:rsidRPr="0048687B" w:rsidP="0048687B">
      <w:pPr>
        <w:pStyle w:val="ListBullet"/>
      </w:pPr>
      <w:r w:rsidRPr="0048687B">
        <w:t>recording and presenting data accurately and legibly.</w:t>
      </w:r>
    </w:p>
    <w:p w:rsidR="00000000" w:rsidRPr="0048687B" w:rsidP="0048687B">
      <w:pPr>
        <w:pStyle w:val="AllowPageBreak"/>
      </w:pPr>
    </w:p>
    <w:p w:rsidR="00000000" w:rsidRPr="0048687B" w:rsidP="0048687B">
      <w:pPr>
        <w:pStyle w:val="Heading1"/>
      </w:pPr>
      <w:bookmarkStart w:id="3" w:name="O_890432"/>
      <w:bookmarkEnd w:id="3"/>
      <w:r w:rsidRPr="0048687B">
        <w:t>Knowledge Evidence</w:t>
      </w:r>
    </w:p>
    <w:p w:rsidR="00000000" w:rsidRPr="0048687B" w:rsidP="009C71D9">
      <w:pPr>
        <w:pStyle w:val="BodyText"/>
      </w:pPr>
      <w:r w:rsidRPr="0048687B">
        <w:t>Must provide evidence that demonstrates knowledge of:</w:t>
      </w:r>
    </w:p>
    <w:p w:rsidR="00000000" w:rsidRPr="0048687B" w:rsidP="0048687B">
      <w:pPr>
        <w:pStyle w:val="ListBullet"/>
      </w:pPr>
      <w:r w:rsidRPr="0048687B">
        <w:t>concepts of metrology, including:</w:t>
      </w:r>
    </w:p>
    <w:p w:rsidR="00000000" w:rsidRPr="0048687B" w:rsidP="0048687B">
      <w:pPr>
        <w:pStyle w:val="ListBullet2"/>
      </w:pPr>
      <w:r w:rsidRPr="0048687B">
        <w:t>all measurements are estimates</w:t>
      </w:r>
    </w:p>
    <w:p w:rsidR="00000000" w:rsidRPr="0048687B" w:rsidP="0048687B">
      <w:pPr>
        <w:pStyle w:val="ListBullet2"/>
      </w:pPr>
      <w:r w:rsidRPr="0048687B">
        <w:t>measurements belong to a population of measurements of the measured parameters</w:t>
      </w:r>
    </w:p>
    <w:p w:rsidR="00000000" w:rsidRPr="0048687B" w:rsidP="0048687B">
      <w:pPr>
        <w:pStyle w:val="ListBullet2"/>
      </w:pPr>
      <w:r w:rsidRPr="0048687B">
        <w:t>precision, accuracy a</w:t>
      </w:r>
      <w:r w:rsidRPr="0048687B">
        <w:t>nd significant figures</w:t>
      </w:r>
    </w:p>
    <w:p w:rsidR="00000000" w:rsidRPr="0048687B" w:rsidP="0048687B">
      <w:pPr>
        <w:pStyle w:val="ListBullet2"/>
      </w:pPr>
      <w:r w:rsidRPr="0048687B">
        <w:t>sources of error, uncertainty and repeatability</w:t>
      </w:r>
    </w:p>
    <w:p w:rsidR="00000000" w:rsidRPr="0048687B" w:rsidP="0048687B">
      <w:pPr>
        <w:pStyle w:val="ListBullet2"/>
      </w:pPr>
      <w:r w:rsidRPr="0048687B">
        <w:t>traceability</w:t>
      </w:r>
    </w:p>
    <w:p w:rsidR="00000000" w:rsidRPr="0048687B" w:rsidP="0048687B">
      <w:pPr>
        <w:pStyle w:val="ListBullet"/>
      </w:pPr>
      <w:r w:rsidRPr="0048687B">
        <w:t>international system of units (SI)</w:t>
      </w:r>
    </w:p>
    <w:p w:rsidR="00000000" w:rsidRPr="0048687B" w:rsidP="0048687B">
      <w:pPr>
        <w:pStyle w:val="ListBullet"/>
      </w:pPr>
      <w:r w:rsidRPr="0048687B">
        <w:t>concentration terms, such as % w/w, % w/v, % v/v, ppm (mg/L) and molarity</w:t>
      </w:r>
    </w:p>
    <w:p w:rsidR="00000000" w:rsidRPr="0048687B" w:rsidP="0048687B">
      <w:pPr>
        <w:pStyle w:val="ListBullet"/>
      </w:pPr>
      <w:r w:rsidRPr="0048687B">
        <w:t>basic theory of acids, bases, salts, buffers and neutralisation</w:t>
      </w:r>
    </w:p>
    <w:p w:rsidR="00000000" w:rsidRPr="0048687B" w:rsidP="0048687B">
      <w:pPr>
        <w:pStyle w:val="ListBullet"/>
      </w:pPr>
      <w:r w:rsidRPr="0048687B">
        <w:t>what affects solubility</w:t>
      </w:r>
    </w:p>
    <w:p w:rsidR="00000000" w:rsidRPr="0048687B" w:rsidP="0048687B">
      <w:pPr>
        <w:pStyle w:val="ListBullet"/>
      </w:pPr>
      <w:r w:rsidRPr="0048687B">
        <w:t>difference between aqueous and organic solutions</w:t>
      </w:r>
    </w:p>
    <w:p w:rsidR="00000000" w:rsidRPr="0048687B" w:rsidP="0048687B">
      <w:pPr>
        <w:pStyle w:val="ListBullet"/>
      </w:pPr>
      <w:r w:rsidRPr="0048687B">
        <w:t xml:space="preserve">periodic table, symbols of the elements, atomic weights, and difference between elements and compounds </w:t>
      </w:r>
    </w:p>
    <w:p w:rsidR="00000000" w:rsidRPr="0048687B" w:rsidP="0048687B">
      <w:pPr>
        <w:pStyle w:val="ListBullet"/>
      </w:pPr>
      <w:r w:rsidRPr="0048687B">
        <w:t>chemical formul</w:t>
      </w:r>
      <w:r w:rsidRPr="0048687B">
        <w:t>ae</w:t>
      </w:r>
    </w:p>
    <w:p w:rsidR="00000000" w:rsidRPr="0048687B" w:rsidP="0048687B">
      <w:pPr>
        <w:pStyle w:val="ListBullet"/>
      </w:pPr>
      <w:r w:rsidRPr="0048687B">
        <w:t>workplace procedures for preparing solutions</w:t>
      </w:r>
    </w:p>
    <w:p w:rsidR="00000000" w:rsidRPr="0048687B" w:rsidP="0048687B">
      <w:pPr>
        <w:pStyle w:val="ListBullet"/>
      </w:pPr>
      <w:r w:rsidRPr="0048687B">
        <w:t>calculations required to prepare specified amounts of solutions of specified concentration</w:t>
      </w:r>
    </w:p>
    <w:p w:rsidR="00000000" w:rsidRPr="0048687B" w:rsidP="0048687B">
      <w:pPr>
        <w:pStyle w:val="ListBullet"/>
      </w:pPr>
      <w:r w:rsidRPr="0048687B">
        <w:t>use of material safety data sheets (MSDS) and workplace procedures for preparing, handling and disposing of solutions</w:t>
      </w:r>
      <w:r w:rsidRPr="0048687B">
        <w:t xml:space="preserve"> and cleaning up spillages</w:t>
      </w:r>
    </w:p>
    <w:p w:rsidR="00000000" w:rsidRPr="0048687B" w:rsidP="0048687B">
      <w:pPr>
        <w:pStyle w:val="ListBullet"/>
      </w:pPr>
      <w:r w:rsidRPr="0048687B">
        <w:t>relevant hazards, work health safety (WHS) and environment requirements.</w:t>
      </w:r>
    </w:p>
    <w:p w:rsidR="00000000" w:rsidRPr="0048687B" w:rsidP="0048687B">
      <w:pPr>
        <w:pStyle w:val="AllowPageBreak"/>
      </w:pPr>
    </w:p>
    <w:p w:rsidR="00000000" w:rsidRPr="0048687B" w:rsidP="0048687B">
      <w:pPr>
        <w:pStyle w:val="Heading1"/>
      </w:pPr>
      <w:bookmarkStart w:id="4" w:name="O_890431"/>
      <w:bookmarkEnd w:id="4"/>
      <w:r w:rsidRPr="0048687B">
        <w:t>Assessment Conditions</w:t>
      </w:r>
    </w:p>
    <w:p w:rsidR="00000000" w:rsidRPr="0048687B" w:rsidP="0048687B">
      <w:pPr>
        <w:pStyle w:val="ListBullet"/>
      </w:pPr>
      <w:r w:rsidRPr="0048687B">
        <w:t>Judgement of competence must be based on holistic assessment of the evidence. Assessment methods must confirm consis</w:t>
      </w:r>
      <w:r w:rsidRPr="0048687B">
        <w:t xml:space="preserve">tency of performance over time, rather than a single assessment event. </w:t>
      </w:r>
    </w:p>
    <w:p w:rsidR="00000000" w:rsidRPr="0048687B" w:rsidP="0048687B">
      <w:pPr>
        <w:pStyle w:val="ListBullet"/>
      </w:pPr>
      <w:r w:rsidRPr="0048687B">
        <w:t>This unit of competency is to be assessed in the workplace or a simulated workplace environment. A simulated workplace environment must reflect realistic operational workplace conditio</w:t>
      </w:r>
      <w:r w:rsidRPr="0048687B">
        <w:t xml:space="preserve">ns that cover all aspects of workplace performance, including the environment, task skills, task management skills, contingency management skills and job role environment skills.  </w:t>
      </w:r>
    </w:p>
    <w:p w:rsidR="00000000" w:rsidRPr="0048687B" w:rsidP="0048687B">
      <w:pPr>
        <w:pStyle w:val="ListBullet"/>
      </w:pPr>
      <w:r w:rsidRPr="0048687B">
        <w:t>Foundation skills are integral to competent performance of the unit and sho</w:t>
      </w:r>
      <w:r w:rsidRPr="0048687B">
        <w:t xml:space="preserve">uld not be assessed separately. </w:t>
      </w:r>
    </w:p>
    <w:p w:rsidR="00000000" w:rsidRPr="0048687B" w:rsidP="0048687B">
      <w:pPr>
        <w:pStyle w:val="ListBullet"/>
      </w:pPr>
      <w:r w:rsidRPr="0048687B">
        <w:t>Assessment processes and techniques must be appropriate to the language, literacy and numeracy requirements of the work being performed and the needs of the candidate.</w:t>
      </w:r>
    </w:p>
    <w:p w:rsidR="00000000" w:rsidRPr="0048687B" w:rsidP="0048687B">
      <w:pPr>
        <w:pStyle w:val="ListBullet"/>
      </w:pPr>
      <w:r w:rsidRPr="0048687B">
        <w:t>Knowledge evidence may be collected concurrently with p</w:t>
      </w:r>
      <w:r w:rsidRPr="0048687B">
        <w:t>erformance evidence or through an independent process, such as workbooks, written assessments or interviews (provided a record is kept in each case).</w:t>
      </w:r>
    </w:p>
    <w:p w:rsidR="00000000" w:rsidRPr="0048687B" w:rsidP="0048687B">
      <w:pPr>
        <w:pStyle w:val="ListBullet"/>
      </w:pPr>
      <w:r w:rsidRPr="0048687B">
        <w:t xml:space="preserve">This unit of competency may be assessed with: </w:t>
      </w:r>
    </w:p>
    <w:p w:rsidR="00000000" w:rsidRPr="0048687B" w:rsidP="0048687B">
      <w:pPr>
        <w:pStyle w:val="ListBullet2"/>
      </w:pPr>
      <w:r w:rsidRPr="0048687B">
        <w:t>MSL922001 Record and present data</w:t>
      </w:r>
    </w:p>
    <w:p w:rsidR="00000000" w:rsidRPr="0048687B" w:rsidP="0048687B">
      <w:pPr>
        <w:pStyle w:val="ListBullet2"/>
      </w:pPr>
      <w:r w:rsidRPr="0048687B">
        <w:t>MSL943002 Participate in laboratory or field workplace safety</w:t>
      </w:r>
    </w:p>
    <w:p w:rsidR="00000000" w:rsidRPr="0048687B" w:rsidP="0048687B">
      <w:pPr>
        <w:pStyle w:val="ListBullet"/>
      </w:pPr>
      <w:r w:rsidRPr="0048687B">
        <w:t xml:space="preserve">Holistic assessment methods include: </w:t>
      </w:r>
    </w:p>
    <w:p w:rsidR="00000000" w:rsidRPr="0048687B" w:rsidP="0048687B">
      <w:pPr>
        <w:pStyle w:val="ListBullet2"/>
      </w:pPr>
      <w:r w:rsidRPr="0048687B">
        <w:t>inspection of working solutions prepared, labelled and stored by the candidate</w:t>
      </w:r>
    </w:p>
    <w:p w:rsidR="00000000" w:rsidRPr="0048687B" w:rsidP="0048687B">
      <w:pPr>
        <w:pStyle w:val="ListBullet2"/>
      </w:pPr>
      <w:r w:rsidRPr="0048687B">
        <w:t>review of solution records and workplace documentation completed by the can</w:t>
      </w:r>
      <w:r w:rsidRPr="0048687B">
        <w:t>didate</w:t>
      </w:r>
    </w:p>
    <w:p w:rsidR="00000000" w:rsidRPr="0048687B" w:rsidP="0048687B">
      <w:pPr>
        <w:pStyle w:val="ListBullet2"/>
      </w:pPr>
      <w:r w:rsidRPr="0048687B">
        <w:t>feedback from peers and supervisors</w:t>
      </w:r>
    </w:p>
    <w:p w:rsidR="00000000" w:rsidRPr="0048687B" w:rsidP="0048687B">
      <w:pPr>
        <w:pStyle w:val="ListBullet2"/>
      </w:pPr>
      <w:r w:rsidRPr="0048687B">
        <w:t xml:space="preserve">observation of the candidate preparing working solutions </w:t>
      </w:r>
    </w:p>
    <w:p w:rsidR="00000000" w:rsidRPr="0048687B" w:rsidP="0048687B">
      <w:pPr>
        <w:pStyle w:val="ListBullet2"/>
      </w:pPr>
      <w:r w:rsidRPr="0048687B">
        <w:t>review of calculations for concentration and dilutions completed by the candidate</w:t>
      </w:r>
    </w:p>
    <w:p w:rsidR="00000000" w:rsidRPr="0048687B" w:rsidP="0048687B">
      <w:pPr>
        <w:pStyle w:val="ListBullet2"/>
      </w:pPr>
      <w:r w:rsidRPr="0048687B">
        <w:t>oral or written questioning about solution preparation steps, calculation</w:t>
      </w:r>
      <w:r w:rsidRPr="0048687B">
        <w:t>s, common hazards and safety procedures.</w:t>
      </w:r>
    </w:p>
    <w:p w:rsidR="00000000" w:rsidRPr="0048687B" w:rsidP="0048687B">
      <w:pPr>
        <w:pStyle w:val="ListBullet"/>
      </w:pPr>
      <w:r w:rsidRPr="0048687B">
        <w:t>Access is required to instruments, equipment, materials, workplace documentation, procedures and specifications associated with this unit, including, but not limited to:</w:t>
      </w:r>
    </w:p>
    <w:p w:rsidR="00000000" w:rsidRPr="0048687B" w:rsidP="0048687B">
      <w:pPr>
        <w:pStyle w:val="ListBullet2"/>
      </w:pPr>
      <w:r w:rsidRPr="0048687B">
        <w:t>a standard laboratory equipped with appropr</w:t>
      </w:r>
      <w:r w:rsidRPr="0048687B">
        <w:t>iate reagents and equipment, such as pH meters; balances; magnetic stirrers, water baths and hot plates; measuring cylinders, beakers, conical flasks, volumetric flasks, pipettes and burettes; filter papers and funnels; and fume cupboards</w:t>
      </w:r>
    </w:p>
    <w:p w:rsidR="00000000" w:rsidRPr="0048687B" w:rsidP="0048687B">
      <w:pPr>
        <w:pStyle w:val="ListBullet2"/>
      </w:pPr>
      <w:r w:rsidRPr="0048687B">
        <w:t xml:space="preserve">standard methods </w:t>
      </w:r>
      <w:r w:rsidRPr="0048687B">
        <w:t>and workplace procedures</w:t>
      </w:r>
    </w:p>
    <w:p w:rsidR="00000000" w:rsidRPr="0048687B" w:rsidP="0048687B">
      <w:pPr>
        <w:pStyle w:val="ListBullet2"/>
      </w:pPr>
      <w:r w:rsidRPr="0048687B">
        <w:t>containers and storage facilities.</w:t>
      </w:r>
    </w:p>
    <w:p w:rsidR="00000000" w:rsidRPr="0048687B" w:rsidP="0048687B">
      <w:pPr>
        <w:pStyle w:val="ListBullet"/>
      </w:pPr>
      <w:r w:rsidRPr="0048687B">
        <w:t xml:space="preserve">Assessors must satisfy the assessor competency requirements that are in place at the time of the assessment as set by the VET regulator.  </w:t>
      </w:r>
    </w:p>
    <w:p w:rsidR="00000000" w:rsidRPr="0048687B" w:rsidP="0048687B">
      <w:pPr>
        <w:pStyle w:val="ListBullet"/>
      </w:pPr>
      <w:r w:rsidRPr="0048687B">
        <w:t xml:space="preserve">The assessor must demonstrate both technical competence </w:t>
      </w:r>
      <w:r w:rsidRPr="0048687B">
        <w:t>and currency.</w:t>
      </w:r>
    </w:p>
    <w:p w:rsidR="00000000" w:rsidRPr="0048687B" w:rsidP="0048687B">
      <w:pPr>
        <w:pStyle w:val="ListBullet"/>
      </w:pPr>
      <w:r w:rsidRPr="0048687B">
        <w:t>Technical competence can be demonstrated through:</w:t>
      </w:r>
    </w:p>
    <w:p w:rsidR="00000000" w:rsidRPr="0048687B" w:rsidP="0048687B">
      <w:pPr>
        <w:pStyle w:val="ListBullet2"/>
      </w:pPr>
      <w:r w:rsidRPr="0048687B">
        <w:t>relevant VET or other qualification/Statement of Attainment AND/OR</w:t>
      </w:r>
    </w:p>
    <w:p w:rsidR="00000000" w:rsidRPr="0048687B" w:rsidP="0048687B">
      <w:pPr>
        <w:pStyle w:val="ListBullet2"/>
      </w:pPr>
      <w:r w:rsidRPr="0048687B">
        <w:t>relevant workplace experience.</w:t>
      </w:r>
    </w:p>
    <w:p w:rsidR="00000000" w:rsidRPr="0048687B" w:rsidP="0048687B">
      <w:pPr>
        <w:pStyle w:val="ListBullet"/>
      </w:pPr>
      <w:r w:rsidRPr="0048687B">
        <w:t>Currency can be demonstrated through:</w:t>
      </w:r>
    </w:p>
    <w:p w:rsidR="00000000" w:rsidRPr="0048687B" w:rsidP="0048687B">
      <w:pPr>
        <w:pStyle w:val="ListBullet2"/>
      </w:pPr>
      <w:r w:rsidRPr="0048687B">
        <w:t>performing the competency being assessed as part of current employment OR</w:t>
      </w:r>
    </w:p>
    <w:p w:rsidR="00000000" w:rsidRPr="0048687B" w:rsidP="0048687B">
      <w:pPr>
        <w:pStyle w:val="ListBullet2"/>
      </w:pPr>
      <w:r w:rsidRPr="0048687B">
        <w:t>having consulted with a laboratory about performing the competency being assessed within the last twelve months.</w:t>
      </w:r>
    </w:p>
    <w:p w:rsidR="00000000" w:rsidRPr="0048687B" w:rsidP="0048687B">
      <w:pPr>
        <w:pStyle w:val="AllowPageBreak"/>
      </w:pPr>
    </w:p>
    <w:p w:rsidR="00000000" w:rsidRPr="0048687B" w:rsidP="0048687B">
      <w:pPr>
        <w:pStyle w:val="Heading1"/>
      </w:pPr>
      <w:bookmarkStart w:id="5" w:name="O_890429"/>
      <w:bookmarkEnd w:id="5"/>
      <w:r w:rsidRPr="0048687B">
        <w:t>Links</w:t>
      </w:r>
    </w:p>
    <w:p w:rsidR="00000000" w:rsidRPr="0048687B" w:rsidP="009C71D9">
      <w:pPr>
        <w:pStyle w:val="BodyText"/>
      </w:pPr>
      <w:r w:rsidRPr="0048687B">
        <w:t>Companion Volume implementation guides are fou</w:t>
      </w:r>
      <w:r w:rsidRPr="0048687B">
        <w:t xml:space="preserve">nd in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4063E2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48687B" w:rsidP="0048687B"/>
    <w:sectPr w:rsidSect="004868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7B" w:rsidRPr="009C71D9" w:rsidP="009C71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D9" w:rsidP="00486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1D9" w:rsidP="00486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71D9" w:rsidP="00486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87B" w:rsidRPr="009C71D9" w:rsidP="009C71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D9" w:rsidRPr="002D2AF8" w:rsidP="00486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MSL973002 Prepare working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9C71D9" w:rsidP="00486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2C7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42E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880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87B"/>
  </w:style>
  <w:style w:type="character" w:customStyle="1" w:styleId="Heading1Char">
    <w:name w:val="Heading 1 Char"/>
    <w:basedOn w:val="DefaultParagraphFont"/>
    <w:link w:val="Heading1"/>
    <w:rsid w:val="00486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87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68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6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687B"/>
    <w:rPr>
      <w:b/>
      <w:spacing w:val="0"/>
    </w:rPr>
  </w:style>
  <w:style w:type="paragraph" w:customStyle="1" w:styleId="SuperTitle">
    <w:name w:val="SuperTitle"/>
    <w:basedOn w:val="Title"/>
    <w:rsid w:val="00486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87B"/>
    <w:rPr>
      <w:i/>
    </w:rPr>
  </w:style>
  <w:style w:type="paragraph" w:styleId="Caption">
    <w:name w:val="caption"/>
    <w:basedOn w:val="BodyText"/>
    <w:next w:val="Normal"/>
    <w:qFormat/>
    <w:rsid w:val="00486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87B"/>
  </w:style>
  <w:style w:type="paragraph" w:styleId="TableofFigures">
    <w:name w:val="table of figures"/>
    <w:basedOn w:val="Normal"/>
    <w:next w:val="Normal"/>
    <w:semiHidden/>
    <w:rsid w:val="00486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87B"/>
    <w:pPr>
      <w:numPr>
        <w:numId w:val="11"/>
      </w:numPr>
    </w:pPr>
  </w:style>
  <w:style w:type="character" w:customStyle="1" w:styleId="WingdingSymbols">
    <w:name w:val="Wingding Symbols"/>
    <w:rsid w:val="0048687B"/>
    <w:rPr>
      <w:rFonts w:ascii="Wingdings" w:hAnsi="Wingdings"/>
    </w:rPr>
  </w:style>
  <w:style w:type="paragraph" w:customStyle="1" w:styleId="TableHeading">
    <w:name w:val="Table Heading"/>
    <w:basedOn w:val="HeadingBase"/>
    <w:rsid w:val="00486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87B"/>
    <w:rPr>
      <w:color w:val="0033CC"/>
      <w:u w:val="none"/>
    </w:rPr>
  </w:style>
  <w:style w:type="paragraph" w:customStyle="1" w:styleId="BodyTextRight">
    <w:name w:val="Body Text Right"/>
    <w:basedOn w:val="BodyText"/>
    <w:rsid w:val="00486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87B"/>
    <w:rPr>
      <w:sz w:val="32"/>
    </w:rPr>
  </w:style>
  <w:style w:type="paragraph" w:customStyle="1" w:styleId="HeadingProcedure">
    <w:name w:val="Heading Procedure"/>
    <w:basedOn w:val="HeadingBase"/>
    <w:next w:val="Normal"/>
    <w:rsid w:val="00486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87B"/>
    <w:pPr>
      <w:spacing w:before="60" w:after="60"/>
    </w:pPr>
  </w:style>
  <w:style w:type="paragraph" w:styleId="ListContinue">
    <w:name w:val="List Continue"/>
    <w:basedOn w:val="List"/>
    <w:rsid w:val="0048687B"/>
    <w:pPr>
      <w:ind w:firstLine="0"/>
    </w:pPr>
  </w:style>
  <w:style w:type="paragraph" w:customStyle="1" w:styleId="ListNote">
    <w:name w:val="List Note"/>
    <w:basedOn w:val="List"/>
    <w:rsid w:val="00486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87B"/>
    <w:rPr>
      <w:rFonts w:ascii="Courier New" w:hAnsi="Courier New"/>
    </w:rPr>
  </w:style>
  <w:style w:type="paragraph" w:customStyle="1" w:styleId="NoteBullet">
    <w:name w:val="Note Bullet"/>
    <w:basedOn w:val="Note"/>
    <w:rsid w:val="00486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8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6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87B"/>
    <w:rPr>
      <w:b/>
      <w:smallCaps/>
    </w:rPr>
  </w:style>
  <w:style w:type="paragraph" w:customStyle="1" w:styleId="TableListNumber">
    <w:name w:val="Table List Number"/>
    <w:basedOn w:val="ListNumber"/>
    <w:rsid w:val="00486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87B"/>
    <w:pPr>
      <w:numPr>
        <w:numId w:val="9"/>
      </w:numPr>
    </w:pPr>
  </w:style>
  <w:style w:type="paragraph" w:customStyle="1" w:styleId="ListAlpha2">
    <w:name w:val="List Alpha 2"/>
    <w:basedOn w:val="List2"/>
    <w:rsid w:val="0048687B"/>
    <w:pPr>
      <w:numPr>
        <w:numId w:val="8"/>
      </w:numPr>
    </w:pPr>
  </w:style>
  <w:style w:type="paragraph" w:styleId="List2">
    <w:name w:val="List 2"/>
    <w:basedOn w:val="BodyText"/>
    <w:rsid w:val="00486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8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8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87B"/>
    <w:pPr>
      <w:numPr>
        <w:numId w:val="4"/>
      </w:numPr>
    </w:pPr>
  </w:style>
  <w:style w:type="paragraph" w:styleId="ListContinue2">
    <w:name w:val="List Continue 2"/>
    <w:basedOn w:val="List2"/>
    <w:rsid w:val="0048687B"/>
    <w:pPr>
      <w:ind w:firstLine="0"/>
    </w:pPr>
  </w:style>
  <w:style w:type="paragraph" w:styleId="ListContinue3">
    <w:name w:val="List Continue 3"/>
    <w:basedOn w:val="List3"/>
    <w:rsid w:val="0048687B"/>
    <w:pPr>
      <w:ind w:left="1021" w:firstLine="0"/>
    </w:pPr>
  </w:style>
  <w:style w:type="paragraph" w:styleId="ListContinue4">
    <w:name w:val="List Continue 4"/>
    <w:basedOn w:val="List4"/>
    <w:rsid w:val="0048687B"/>
    <w:pPr>
      <w:ind w:firstLine="0"/>
    </w:pPr>
  </w:style>
  <w:style w:type="paragraph" w:styleId="ListContinue5">
    <w:name w:val="List Continue 5"/>
    <w:basedOn w:val="List5"/>
    <w:rsid w:val="0048687B"/>
    <w:pPr>
      <w:ind w:firstLine="0"/>
    </w:pPr>
  </w:style>
  <w:style w:type="paragraph" w:styleId="ListNumber3">
    <w:name w:val="List Number 3"/>
    <w:basedOn w:val="List3"/>
    <w:rsid w:val="0048687B"/>
    <w:pPr>
      <w:numPr>
        <w:numId w:val="5"/>
      </w:numPr>
    </w:pPr>
  </w:style>
  <w:style w:type="paragraph" w:styleId="ListNumber4">
    <w:name w:val="List Number 4"/>
    <w:basedOn w:val="List4"/>
    <w:rsid w:val="0048687B"/>
    <w:pPr>
      <w:numPr>
        <w:numId w:val="6"/>
      </w:numPr>
    </w:pPr>
  </w:style>
  <w:style w:type="paragraph" w:styleId="ListNumber5">
    <w:name w:val="List Number 5"/>
    <w:basedOn w:val="List5"/>
    <w:rsid w:val="0048687B"/>
    <w:pPr>
      <w:numPr>
        <w:numId w:val="7"/>
      </w:numPr>
    </w:pPr>
  </w:style>
  <w:style w:type="paragraph" w:styleId="BlockText">
    <w:name w:val="Block Text"/>
    <w:basedOn w:val="Normal"/>
    <w:rsid w:val="00486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87B"/>
    <w:rPr>
      <w:sz w:val="16"/>
      <w:vertAlign w:val="superscript"/>
    </w:rPr>
  </w:style>
  <w:style w:type="character" w:customStyle="1" w:styleId="Symbols">
    <w:name w:val="Symbols"/>
    <w:basedOn w:val="DefaultParagraphFont"/>
    <w:rsid w:val="0048687B"/>
    <w:rPr>
      <w:rFonts w:ascii="Symbol" w:hAnsi="Symbol"/>
    </w:rPr>
  </w:style>
  <w:style w:type="character" w:customStyle="1" w:styleId="MenuOptions">
    <w:name w:val="Menu Options"/>
    <w:basedOn w:val="DefaultParagraphFont"/>
    <w:rsid w:val="00486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87B"/>
    <w:rPr>
      <w:b/>
    </w:rPr>
  </w:style>
  <w:style w:type="character" w:customStyle="1" w:styleId="Underlined">
    <w:name w:val="Underlined"/>
    <w:basedOn w:val="DefaultParagraphFont"/>
    <w:rsid w:val="0048687B"/>
    <w:rPr>
      <w:u w:val="single"/>
    </w:rPr>
  </w:style>
  <w:style w:type="paragraph" w:customStyle="1" w:styleId="TableBodyTextRight">
    <w:name w:val="Table Body Text Right"/>
    <w:basedOn w:val="TableBodyText"/>
    <w:rsid w:val="00486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87B"/>
    <w:rPr>
      <w:sz w:val="18"/>
    </w:rPr>
  </w:style>
  <w:style w:type="paragraph" w:customStyle="1" w:styleId="BodySmallRight">
    <w:name w:val="Body Small Right"/>
    <w:basedOn w:val="BodyTextRight"/>
    <w:rsid w:val="0048687B"/>
    <w:rPr>
      <w:sz w:val="18"/>
      <w:szCs w:val="18"/>
    </w:rPr>
  </w:style>
  <w:style w:type="paragraph" w:customStyle="1" w:styleId="MarginEdition">
    <w:name w:val="Margin Edition"/>
    <w:basedOn w:val="MarginNote"/>
    <w:rsid w:val="00486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87B"/>
    <w:rPr>
      <w:sz w:val="2"/>
      <w:szCs w:val="2"/>
    </w:rPr>
  </w:style>
  <w:style w:type="character" w:customStyle="1" w:styleId="Small">
    <w:name w:val="Small"/>
    <w:basedOn w:val="DefaultParagraphFont"/>
    <w:rsid w:val="0048687B"/>
    <w:rPr>
      <w:sz w:val="16"/>
    </w:rPr>
  </w:style>
  <w:style w:type="paragraph" w:customStyle="1" w:styleId="WideTable">
    <w:name w:val="Wide Table"/>
    <w:basedOn w:val="Normal"/>
    <w:rsid w:val="00486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87B"/>
  </w:style>
  <w:style w:type="paragraph" w:styleId="Quote">
    <w:name w:val="Quote"/>
    <w:basedOn w:val="Heading1"/>
    <w:link w:val="QuoteChar"/>
    <w:qFormat/>
    <w:rsid w:val="00486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87B"/>
    <w:pPr>
      <w:pageBreakBefore/>
    </w:pPr>
  </w:style>
  <w:style w:type="paragraph" w:customStyle="1" w:styleId="Border">
    <w:name w:val="Border"/>
    <w:basedOn w:val="Normal"/>
    <w:qFormat/>
    <w:rsid w:val="00486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87B"/>
    <w:rPr>
      <w:u w:val="single"/>
    </w:rPr>
  </w:style>
  <w:style w:type="character" w:customStyle="1" w:styleId="BoldandItalics">
    <w:name w:val="Bold and Italics"/>
    <w:qFormat/>
    <w:rsid w:val="0048687B"/>
    <w:rPr>
      <w:b/>
      <w:i/>
      <w:u w:val="none"/>
    </w:rPr>
  </w:style>
  <w:style w:type="paragraph" w:styleId="BalloonText">
    <w:name w:val="Balloon Text"/>
    <w:basedOn w:val="Normal"/>
    <w:link w:val="BalloonTextChar"/>
    <w:rsid w:val="00486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8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71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719</Words>
  <Characters>4767</Characters>
  <Application>Microsoft Office Word</Application>
  <DocSecurity>0</DocSecurity>
  <Lines>103</Lines>
  <Paragraphs>78</Paragraphs>
  <ScaleCrop>false</ScaleCrop>
  <Company>Author-it Software Corporation Ltd.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MSL973002 Prepare working solutions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2018-12-11T02:59:00Z</dcterms:created>
  <dcterms:modified xsi:type="dcterms:W3CDTF">2018-12-11T03:00:00Z</dcterms:modified>
</cp:coreProperties>
</file>