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A30" w:rsidP="00613A30">
      <w:pPr>
        <w:pStyle w:val="Title"/>
      </w:pPr>
      <w:r>
        <w:fldChar w:fldCharType="begin"/>
      </w:r>
      <w:r>
        <w:instrText xml:space="preserve"> TITLE   \* MERGEFORMAT </w:instrText>
      </w:r>
      <w:r>
        <w:fldChar w:fldCharType="separate"/>
      </w:r>
      <w:r>
        <w:t>MSL973001 Perform basic tests</w:t>
      </w:r>
      <w:r>
        <w:fldChar w:fldCharType="end"/>
      </w:r>
    </w:p>
    <w:p w:rsidR="00613A30" w:rsidP="00613A30">
      <w:pPr>
        <w:pStyle w:val="Version"/>
        <w:sectPr w:rsidSect="000375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5EB" w:rsidP="000375EB">
      <w:pPr>
        <w:pStyle w:val="SuperHeading"/>
      </w:pPr>
      <w:r w:rsidRPr="000375EB">
        <w:t>MSL973001 Perform basic tests</w:t>
      </w:r>
    </w:p>
    <w:p w:rsidR="00000000" w:rsidRPr="000375EB" w:rsidP="000375EB">
      <w:pPr>
        <w:pStyle w:val="Heading1"/>
      </w:pPr>
      <w:bookmarkStart w:id="1" w:name="O_890415"/>
      <w:bookmarkEnd w:id="1"/>
      <w:r w:rsidRPr="000375EB">
        <w:t>Modification History</w:t>
      </w:r>
    </w:p>
    <w:p w:rsidR="00000000" w:rsidRPr="000375EB" w:rsidP="00613A30">
      <w:pPr>
        <w:pStyle w:val="BodyText"/>
      </w:pPr>
      <w:r w:rsidRPr="000375EB">
        <w:t>Release 1. Supersedes and is equivalent to MSL973001A Perform basic tests</w:t>
      </w:r>
    </w:p>
    <w:p w:rsidR="00000000" w:rsidRPr="000375EB" w:rsidP="000375EB">
      <w:pPr>
        <w:pStyle w:val="Heading1"/>
      </w:pPr>
      <w:bookmarkStart w:id="2" w:name="O_890423"/>
      <w:bookmarkEnd w:id="2"/>
      <w:r w:rsidRPr="000375EB">
        <w:t>Application</w:t>
      </w:r>
    </w:p>
    <w:p w:rsidR="00000000" w:rsidRPr="000375EB" w:rsidP="00613A30">
      <w:pPr>
        <w:pStyle w:val="BodyText"/>
      </w:pPr>
      <w:r w:rsidRPr="000375EB">
        <w:t xml:space="preserve">This unit of competency covers the ability to prepare samples and perform tests and measurements using standard methods with access </w:t>
      </w:r>
      <w:r w:rsidRPr="000375EB">
        <w:t xml:space="preserve">to readily available advice from supervisors. </w:t>
      </w:r>
    </w:p>
    <w:p w:rsidR="00000000" w:rsidRPr="000375EB" w:rsidP="00613A30">
      <w:pPr>
        <w:pStyle w:val="BodyText"/>
      </w:pPr>
      <w:r w:rsidRPr="000375EB">
        <w:t>This unit of competency is applicable to laboratory/field assistants working in all industry sectors. In general, they do not calibrate equipment and make only limited adjustments to the controls. They do not</w:t>
      </w:r>
      <w:r w:rsidRPr="000375EB">
        <w:t xml:space="preserve"> interpret or analyse results or troubleshoot equipment problems.</w:t>
      </w:r>
    </w:p>
    <w:p w:rsidR="00000000" w:rsidRPr="000375EB" w:rsidP="00613A30">
      <w:pPr>
        <w:pStyle w:val="BodyText"/>
      </w:pPr>
      <w:r w:rsidRPr="000375EB">
        <w:t>While no specific licensing or certification requirements apply to this unit at the time of publication, laboratory operations are governed by relevant legislation, regulations and/or exter</w:t>
      </w:r>
      <w:r w:rsidRPr="000375EB">
        <w:t>nal accreditation requirements. Local requirements should be checked.</w:t>
      </w:r>
    </w:p>
    <w:p w:rsidR="00000000" w:rsidRPr="000375EB" w:rsidP="000375EB">
      <w:pPr>
        <w:pStyle w:val="Heading1"/>
      </w:pPr>
      <w:bookmarkStart w:id="3" w:name="O_890422"/>
      <w:bookmarkEnd w:id="3"/>
      <w:r w:rsidRPr="000375EB">
        <w:t>Pre-requisite Unit</w:t>
      </w:r>
    </w:p>
    <w:p w:rsidR="00000000" w:rsidRPr="000375EB" w:rsidP="00613A30">
      <w:pPr>
        <w:pStyle w:val="BodyText"/>
      </w:pPr>
      <w:r w:rsidRPr="000375EB">
        <w:t>Nil</w:t>
      </w:r>
    </w:p>
    <w:p w:rsidR="00000000" w:rsidRPr="000375EB" w:rsidP="000375EB">
      <w:pPr>
        <w:pStyle w:val="Heading1"/>
      </w:pPr>
      <w:bookmarkStart w:id="4" w:name="O_890421"/>
      <w:bookmarkEnd w:id="4"/>
      <w:r w:rsidRPr="000375EB">
        <w:t>Competency Field</w:t>
      </w:r>
    </w:p>
    <w:p w:rsidR="00000000" w:rsidRPr="000375EB" w:rsidP="00613A30">
      <w:pPr>
        <w:pStyle w:val="BodyText"/>
      </w:pPr>
      <w:r w:rsidRPr="000375EB">
        <w:t>Testing</w:t>
      </w:r>
    </w:p>
    <w:p w:rsidR="00000000" w:rsidRPr="000375EB" w:rsidP="000375EB">
      <w:pPr>
        <w:pStyle w:val="Heading1"/>
      </w:pPr>
      <w:bookmarkStart w:id="5" w:name="O_890420"/>
      <w:bookmarkEnd w:id="5"/>
      <w:r w:rsidRPr="000375EB">
        <w:t>Unit Sector</w:t>
      </w:r>
    </w:p>
    <w:p w:rsidR="00000000" w:rsidRPr="000375EB" w:rsidP="000375EB">
      <w:pPr>
        <w:pStyle w:val="Heading1"/>
      </w:pPr>
      <w:bookmarkStart w:id="6" w:name="O_890419"/>
      <w:bookmarkEnd w:id="6"/>
      <w:r w:rsidRPr="000375E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375E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Elements describe the ess</w:t>
            </w:r>
            <w:r w:rsidRPr="000375EB">
              <w:t>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Performance criteria describe the performance needed to demonstrate achievement of the element.</w:t>
            </w:r>
          </w:p>
        </w:tc>
      </w:tr>
      <w:tr w:rsidTr="00037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1</w:t>
            </w:r>
          </w:p>
        </w:tc>
        <w:tc>
          <w:tcPr>
            <w:tcW w:w="1986" w:type="dxa"/>
            <w:vMerge w:val="restart"/>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Interpret test requirements</w:t>
            </w:r>
          </w:p>
        </w:tc>
        <w:tc>
          <w:tcPr>
            <w:tcW w:w="779"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1.1</w:t>
            </w:r>
          </w:p>
        </w:tc>
        <w:tc>
          <w:tcPr>
            <w:tcW w:w="5678"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Review test request to identify samples to be tested, test method and equipment involved</w:t>
            </w:r>
          </w:p>
        </w:tc>
      </w:tr>
      <w:tr w:rsidTr="00037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1.2</w:t>
            </w:r>
          </w:p>
        </w:tc>
        <w:tc>
          <w:tcPr>
            <w:tcW w:w="5678"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Identify hazards and workplace controls associated with the sample, preparation methods, reagents and/or equipment</w:t>
            </w:r>
          </w:p>
        </w:tc>
      </w:tr>
    </w:tbl>
    <w:p w:rsidR="00000000" w:rsidRPr="000375EB" w:rsidP="000375EB">
      <w:pPr>
        <w:pStyle w:val="BodyText"/>
      </w:pPr>
    </w:p>
    <w:tbl>
      <w:tblPr>
        <w:tblW w:w="0" w:type="auto"/>
        <w:tblLayout w:type="fixed"/>
        <w:tblCellMar>
          <w:left w:w="62" w:type="dxa"/>
          <w:right w:w="62" w:type="dxa"/>
        </w:tblCellMar>
        <w:tblLook w:val="0000"/>
      </w:tblPr>
      <w:tblGrid>
        <w:gridCol w:w="678"/>
        <w:gridCol w:w="1962"/>
        <w:gridCol w:w="770"/>
        <w:gridCol w:w="5610"/>
      </w:tblGrid>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2</w:t>
            </w:r>
          </w:p>
        </w:tc>
        <w:tc>
          <w:tcPr>
            <w:tcW w:w="1962" w:type="dxa"/>
            <w:vMerge w:val="restart"/>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Prepare sample</w:t>
            </w: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2.1</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Record sample description, compare with specification, record and report discrepancies</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2.2</w:t>
            </w:r>
          </w:p>
        </w:tc>
        <w:tc>
          <w:tcPr>
            <w:tcW w:w="5610"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Prepare sample in accordance with appropriate standard methods</w:t>
            </w:r>
          </w:p>
        </w:tc>
      </w:tr>
    </w:tbl>
    <w:p w:rsidR="00000000" w:rsidRPr="000375EB" w:rsidP="000375EB">
      <w:pPr>
        <w:pStyle w:val="BodyText"/>
      </w:pPr>
    </w:p>
    <w:tbl>
      <w:tblPr>
        <w:tblW w:w="0" w:type="auto"/>
        <w:tblLayout w:type="fixed"/>
        <w:tblCellMar>
          <w:left w:w="62" w:type="dxa"/>
          <w:right w:w="62" w:type="dxa"/>
        </w:tblCellMar>
        <w:tblLook w:val="0000"/>
      </w:tblPr>
      <w:tblGrid>
        <w:gridCol w:w="678"/>
        <w:gridCol w:w="1962"/>
        <w:gridCol w:w="770"/>
        <w:gridCol w:w="5610"/>
      </w:tblGrid>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3</w:t>
            </w:r>
          </w:p>
        </w:tc>
        <w:tc>
          <w:tcPr>
            <w:tcW w:w="1962" w:type="dxa"/>
            <w:vMerge w:val="restart"/>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3.1</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Set up test equipment in accordance with test method</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3.2</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Perform pre-use and safety checks in accordance with workplace procedures and manufacturer instructions</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3.3</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Identify faulty or unsafe equipment and report to appropriate personnel</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3.4</w:t>
            </w:r>
          </w:p>
        </w:tc>
        <w:tc>
          <w:tcPr>
            <w:tcW w:w="5610"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Check calibration status of equipment and report any out-of-calibration items to appropriate personnel</w:t>
            </w:r>
          </w:p>
        </w:tc>
      </w:tr>
    </w:tbl>
    <w:p w:rsidR="00000000" w:rsidRPr="000375EB" w:rsidP="000375EB">
      <w:pPr>
        <w:pStyle w:val="BodyText"/>
      </w:pPr>
    </w:p>
    <w:tbl>
      <w:tblPr>
        <w:tblW w:w="0" w:type="auto"/>
        <w:tblLayout w:type="fixed"/>
        <w:tblCellMar>
          <w:left w:w="62" w:type="dxa"/>
          <w:right w:w="62" w:type="dxa"/>
        </w:tblCellMar>
        <w:tblLook w:val="0000"/>
      </w:tblPr>
      <w:tblGrid>
        <w:gridCol w:w="678"/>
        <w:gridCol w:w="1962"/>
        <w:gridCol w:w="770"/>
        <w:gridCol w:w="5610"/>
      </w:tblGrid>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4</w:t>
            </w:r>
          </w:p>
        </w:tc>
        <w:tc>
          <w:tcPr>
            <w:tcW w:w="1962" w:type="dxa"/>
            <w:vMerge w:val="restart"/>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Perform tests on samples</w:t>
            </w: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4.1</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Identify, prepare and weigh or measure sample and standards to be tested</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4.2</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Conduct tests in accordance with workplace procedures</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4.3</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Record data in accordance with workplace procedures</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4.4</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Perform calculations on data as required</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4.5</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Identify and report out of specification or atypical results promptly to appropriate per</w:t>
            </w:r>
            <w:r w:rsidRPr="000375EB">
              <w:t>sonnel</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4.6</w:t>
            </w:r>
          </w:p>
        </w:tc>
        <w:tc>
          <w:tcPr>
            <w:tcW w:w="5610"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Shut down equipment in accordance with operating procedures</w:t>
            </w:r>
          </w:p>
        </w:tc>
      </w:tr>
    </w:tbl>
    <w:p w:rsidR="00000000" w:rsidRPr="000375EB" w:rsidP="000375EB">
      <w:pPr>
        <w:pStyle w:val="BodyText"/>
      </w:pPr>
    </w:p>
    <w:tbl>
      <w:tblPr>
        <w:tblW w:w="0" w:type="auto"/>
        <w:tblLayout w:type="fixed"/>
        <w:tblCellMar>
          <w:left w:w="62" w:type="dxa"/>
          <w:right w:w="62" w:type="dxa"/>
        </w:tblCellMar>
        <w:tblLook w:val="0000"/>
      </w:tblPr>
      <w:tblGrid>
        <w:gridCol w:w="678"/>
        <w:gridCol w:w="1962"/>
        <w:gridCol w:w="770"/>
        <w:gridCol w:w="5610"/>
      </w:tblGrid>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5</w:t>
            </w:r>
          </w:p>
        </w:tc>
        <w:tc>
          <w:tcPr>
            <w:tcW w:w="1962" w:type="dxa"/>
            <w:vMerge w:val="restart"/>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5.1</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Use established safe work practices and personal protective equipment (PPE) to ensure personal safety and that of other laboratory personnel</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5.2</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Minimise the generation of wastes and environmental impacts</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5.3</w:t>
            </w:r>
          </w:p>
        </w:tc>
        <w:tc>
          <w:tcPr>
            <w:tcW w:w="561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Ensure safe disposal of laboratory and hazardous wastes</w:t>
            </w:r>
          </w:p>
        </w:tc>
      </w:tr>
      <w:tr w:rsidTr="000375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5.4</w:t>
            </w:r>
          </w:p>
        </w:tc>
        <w:tc>
          <w:tcPr>
            <w:tcW w:w="5610" w:type="dxa"/>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 xml:space="preserve">Clean, care for and store equipment and reagents as </w:t>
            </w:r>
            <w:r w:rsidRPr="000375EB">
              <w:t>required</w:t>
            </w:r>
          </w:p>
        </w:tc>
      </w:tr>
    </w:tbl>
    <w:p w:rsidR="00000000" w:rsidRPr="000375EB" w:rsidP="000375EB">
      <w:pPr>
        <w:pStyle w:val="BodyText"/>
      </w:pPr>
    </w:p>
    <w:p w:rsidR="00000000" w:rsidRPr="000375EB" w:rsidP="000375EB">
      <w:pPr>
        <w:pStyle w:val="AllowPageBreak"/>
      </w:pPr>
    </w:p>
    <w:p w:rsidR="00000000" w:rsidRPr="000375EB" w:rsidP="000375EB">
      <w:pPr>
        <w:pStyle w:val="Heading1"/>
      </w:pPr>
      <w:bookmarkStart w:id="7" w:name="O_890418"/>
      <w:bookmarkEnd w:id="7"/>
      <w:r w:rsidRPr="000375EB">
        <w:t>Foundation Skills</w:t>
      </w:r>
    </w:p>
    <w:p w:rsidR="00000000" w:rsidRPr="000375EB" w:rsidP="00613A30">
      <w:pPr>
        <w:pStyle w:val="BodyText"/>
      </w:pPr>
      <w:r w:rsidRPr="000375EB">
        <w:t>This section describes those language, literacy, numeracy and employment skills that are essential to performance.</w:t>
      </w:r>
    </w:p>
    <w:p w:rsidR="00000000" w:rsidRPr="000375EB" w:rsidP="00613A30">
      <w:pPr>
        <w:pStyle w:val="BodyText"/>
      </w:pPr>
      <w:r w:rsidRPr="000375EB">
        <w:t>Foundation skills essential to performance are explicit in the performance criteria of this unit of competency.</w:t>
      </w:r>
    </w:p>
    <w:p w:rsidR="00000000" w:rsidRPr="000375EB" w:rsidP="000375EB">
      <w:pPr>
        <w:pStyle w:val="Heading1"/>
      </w:pPr>
      <w:bookmarkStart w:id="8" w:name="O_890417"/>
      <w:bookmarkEnd w:id="8"/>
      <w:r w:rsidRPr="000375EB">
        <w:t>Range of Co</w:t>
      </w:r>
      <w:r w:rsidRPr="000375EB">
        <w:t>nditions</w:t>
      </w:r>
    </w:p>
    <w:tbl>
      <w:tblPr>
        <w:tblW w:w="0" w:type="auto"/>
        <w:tblCellMar>
          <w:left w:w="62" w:type="dxa"/>
          <w:right w:w="62" w:type="dxa"/>
        </w:tblCellMar>
        <w:tblLook w:val="0000"/>
      </w:tblPr>
      <w:tblGrid>
        <w:gridCol w:w="2163"/>
        <w:gridCol w:w="7033"/>
      </w:tblGrid>
      <w:tr w:rsidTr="00613A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t>This field allows for different work environments and conditions that may affect performance. Essential operating conditions that may be present (depending on the work situation, needs of the candidate, accessibility of the item, and local industr</w:t>
            </w:r>
            <w:r w:rsidRPr="000375EB">
              <w:t>y and regional contexts) are included.</w:t>
            </w:r>
          </w:p>
        </w:tc>
      </w:tr>
      <w:tr w:rsidTr="00613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Standards, codes, procedures and/or workplace requirements include the latest version of one or more of:</w:t>
            </w:r>
          </w:p>
          <w:p w:rsidR="00000000" w:rsidRPr="000375EB" w:rsidP="000375EB">
            <w:pPr>
              <w:pStyle w:val="ListBullet"/>
            </w:pPr>
            <w:r w:rsidRPr="000375EB">
              <w:t>Australian and international standards covering the requirements for the competence of testing and calibration laboratories, laboratory safety and quality management</w:t>
            </w:r>
          </w:p>
          <w:p w:rsidR="00000000" w:rsidRPr="000375EB" w:rsidP="000375EB">
            <w:pPr>
              <w:pStyle w:val="ListBullet"/>
            </w:pPr>
            <w:r w:rsidRPr="000375EB">
              <w:t>national work health and safety (WHS) standards and codes of practice, and national measur</w:t>
            </w:r>
            <w:r w:rsidRPr="000375EB">
              <w:t>ement regulations and guidelines</w:t>
            </w:r>
          </w:p>
          <w:p w:rsidR="00000000" w:rsidRPr="000375EB" w:rsidP="000375EB">
            <w:pPr>
              <w:pStyle w:val="ListBullet"/>
            </w:pPr>
            <w:r w:rsidRPr="000375EB">
              <w:t>standard methods for basic tests</w:t>
            </w:r>
          </w:p>
          <w:p w:rsidR="00000000" w:rsidRPr="000375EB" w:rsidP="000375EB">
            <w:pPr>
              <w:pStyle w:val="ListBullet"/>
            </w:pPr>
            <w:r w:rsidRPr="000375EB">
              <w:t>workplace documents, such as standard operating procedures (SOPs); quality and equipment manuals; calibration and maintenance schedules; material safety data sheets (MSDS) and safety procedu</w:t>
            </w:r>
            <w:r w:rsidRPr="000375EB">
              <w:t>res; material, production and product specifications; production and laboratory schedules, workplace recording and reporting procedures; and waste minimisation and safe disposal procedures</w:t>
            </w:r>
          </w:p>
          <w:p w:rsidR="00000000" w:rsidP="000375EB">
            <w:pPr>
              <w:pStyle w:val="BodyText"/>
              <w:rPr>
                <w:lang w:val="en-NZ"/>
              </w:rPr>
            </w:pPr>
          </w:p>
        </w:tc>
      </w:tr>
      <w:tr w:rsidTr="00613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 xml:space="preserve">Sample preparation </w:t>
            </w:r>
          </w:p>
        </w:tc>
        <w:tc>
          <w:tcPr>
            <w:tcW w:w="0" w:type="auto"/>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Sample preparation processes include one or m</w:t>
            </w:r>
            <w:r w:rsidRPr="000375EB">
              <w:t>ore of:</w:t>
            </w:r>
          </w:p>
          <w:p w:rsidR="00000000" w:rsidRPr="000375EB" w:rsidP="000375EB">
            <w:pPr>
              <w:pStyle w:val="ListBullet"/>
            </w:pPr>
            <w:r w:rsidRPr="000375EB">
              <w:t>sub-sampling or splitting using procedures, such as riffling, coning and quartering, manual and mechanical splitters</w:t>
            </w:r>
          </w:p>
          <w:p w:rsidR="00000000" w:rsidRPr="000375EB" w:rsidP="000375EB">
            <w:pPr>
              <w:pStyle w:val="ListBullet"/>
            </w:pPr>
            <w:r w:rsidRPr="000375EB">
              <w:t>diluting samples</w:t>
            </w:r>
          </w:p>
          <w:p w:rsidR="00000000" w:rsidRPr="000375EB" w:rsidP="000375EB">
            <w:pPr>
              <w:pStyle w:val="ListBullet"/>
            </w:pPr>
            <w:r w:rsidRPr="000375EB">
              <w:t>physical treatments, such as ashing, dissolving, filtration, sieving, centrifugation and comminution</w:t>
            </w:r>
          </w:p>
          <w:p w:rsidR="00000000" w:rsidRPr="000375EB" w:rsidP="000375EB">
            <w:pPr>
              <w:pStyle w:val="ListBullet"/>
            </w:pPr>
            <w:r w:rsidRPr="000375EB">
              <w:t>moulding, casting or cutting specimens</w:t>
            </w:r>
          </w:p>
          <w:p w:rsidR="00000000" w:rsidP="000375EB">
            <w:pPr>
              <w:pStyle w:val="BodyText"/>
              <w:rPr>
                <w:lang w:val="en-NZ"/>
              </w:rPr>
            </w:pPr>
          </w:p>
        </w:tc>
      </w:tr>
      <w:tr w:rsidTr="00613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 xml:space="preserve">Typical basic tests carried out by laboratory/field assistants </w:t>
            </w:r>
          </w:p>
        </w:tc>
        <w:tc>
          <w:tcPr>
            <w:tcW w:w="0" w:type="auto"/>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Typical basic tests carried out by laboratory/field assistants include, but are not limited to, one or more of:</w:t>
            </w:r>
          </w:p>
          <w:p w:rsidR="00000000" w:rsidRPr="000375EB" w:rsidP="000375EB">
            <w:pPr>
              <w:pStyle w:val="ListBullet"/>
            </w:pPr>
            <w:r w:rsidRPr="000375EB">
              <w:t>visual/optical tests of appearance, su</w:t>
            </w:r>
            <w:r w:rsidRPr="000375EB">
              <w:t>ch as colour, texture, identity, turbidity and refractive index (alcohol content and Baume/Brix)</w:t>
            </w:r>
          </w:p>
          <w:p w:rsidR="00000000" w:rsidRPr="000375EB" w:rsidP="000375EB">
            <w:pPr>
              <w:pStyle w:val="ListBullet"/>
            </w:pPr>
            <w:r w:rsidRPr="000375EB">
              <w:t>physical tests, such as:</w:t>
            </w:r>
          </w:p>
          <w:p w:rsidR="00000000" w:rsidRPr="000375EB" w:rsidP="000375EB">
            <w:pPr>
              <w:pStyle w:val="ListBullet2"/>
            </w:pPr>
            <w:r w:rsidRPr="000375EB">
              <w:t>density, specific gravity and compacted density</w:t>
            </w:r>
          </w:p>
          <w:p w:rsidR="00000000" w:rsidRPr="000375EB" w:rsidP="000375EB">
            <w:pPr>
              <w:pStyle w:val="ListBullet2"/>
            </w:pPr>
            <w:r w:rsidRPr="000375EB">
              <w:t>moisture content and water activity</w:t>
            </w:r>
          </w:p>
          <w:p w:rsidR="00000000" w:rsidRPr="000375EB" w:rsidP="000375EB">
            <w:pPr>
              <w:pStyle w:val="ListBullet2"/>
            </w:pPr>
            <w:r w:rsidRPr="000375EB">
              <w:t>particle size, particle shape and size distribution</w:t>
            </w:r>
          </w:p>
          <w:p w:rsidR="00000000" w:rsidRPr="000375EB" w:rsidP="000375EB">
            <w:pPr>
              <w:pStyle w:val="ListBullet"/>
            </w:pPr>
            <w:r w:rsidRPr="000375EB">
              <w:t>chemical tests, such as:</w:t>
            </w:r>
          </w:p>
          <w:p w:rsidR="00000000" w:rsidRPr="000375EB" w:rsidP="000375EB">
            <w:pPr>
              <w:pStyle w:val="ListBullet2"/>
            </w:pPr>
            <w:r w:rsidRPr="000375EB">
              <w:t>gravimetric, colorimetric, electrical conductivity (EC) and pH</w:t>
            </w:r>
          </w:p>
          <w:p w:rsidR="00000000" w:rsidRPr="000375EB" w:rsidP="000375EB">
            <w:pPr>
              <w:pStyle w:val="ListBullet2"/>
            </w:pPr>
            <w:r w:rsidRPr="000375EB">
              <w:t>specific ions using dipsticks and kits</w:t>
            </w:r>
          </w:p>
          <w:p w:rsidR="00000000" w:rsidRPr="000375EB" w:rsidP="000375EB">
            <w:pPr>
              <w:pStyle w:val="ListBullet2"/>
            </w:pPr>
            <w:r w:rsidRPr="000375EB">
              <w:t>nutrients (e.g. nitrates and orthophosphates) using kits</w:t>
            </w:r>
          </w:p>
          <w:p w:rsidR="00000000" w:rsidRPr="000375EB" w:rsidP="000375EB">
            <w:pPr>
              <w:pStyle w:val="ListBullet2"/>
            </w:pPr>
            <w:r w:rsidRPr="000375EB">
              <w:t>ashes, including s</w:t>
            </w:r>
            <w:r w:rsidRPr="000375EB">
              <w:t>ulphated ashes</w:t>
            </w:r>
          </w:p>
          <w:p w:rsidR="00000000" w:rsidRPr="000375EB" w:rsidP="000375EB">
            <w:pPr>
              <w:pStyle w:val="ListBullet"/>
            </w:pPr>
            <w:r w:rsidRPr="000375EB">
              <w:t>biological/environmental tests, such as:</w:t>
            </w:r>
          </w:p>
          <w:p w:rsidR="00000000" w:rsidRPr="000375EB" w:rsidP="000375EB">
            <w:pPr>
              <w:pStyle w:val="ListBullet2"/>
            </w:pPr>
            <w:r w:rsidRPr="000375EB">
              <w:t>pH, oxygen reduction potential (ORP), dissolved oxygen (DO) and EC</w:t>
            </w:r>
          </w:p>
          <w:p w:rsidR="00000000" w:rsidRPr="000375EB" w:rsidP="000375EB">
            <w:pPr>
              <w:pStyle w:val="ListBullet2"/>
            </w:pPr>
            <w:r w:rsidRPr="000375EB">
              <w:t>E coli using test kits, and surface hygiene/presence of microbes</w:t>
            </w:r>
          </w:p>
          <w:p w:rsidR="00000000" w:rsidRPr="000375EB" w:rsidP="000375EB">
            <w:pPr>
              <w:pStyle w:val="ListBullet"/>
            </w:pPr>
            <w:r w:rsidRPr="000375EB">
              <w:t>packaging tests, such as:</w:t>
            </w:r>
          </w:p>
          <w:p w:rsidR="00000000" w:rsidRPr="000375EB" w:rsidP="000375EB">
            <w:pPr>
              <w:pStyle w:val="ListBullet2"/>
            </w:pPr>
            <w:r w:rsidRPr="000375EB">
              <w:t xml:space="preserve">tearing resistance, bursting strength </w:t>
            </w:r>
            <w:r w:rsidRPr="000375EB">
              <w:t>and impact resistance</w:t>
            </w:r>
          </w:p>
          <w:p w:rsidR="00000000" w:rsidRPr="000375EB" w:rsidP="000375EB">
            <w:pPr>
              <w:pStyle w:val="ListBullet2"/>
            </w:pPr>
            <w:r w:rsidRPr="000375EB">
              <w:t>permeability and/or leakage</w:t>
            </w:r>
          </w:p>
          <w:p w:rsidR="00000000" w:rsidRPr="000375EB" w:rsidP="000375EB">
            <w:pPr>
              <w:pStyle w:val="ListBullet"/>
            </w:pPr>
            <w:r w:rsidRPr="000375EB">
              <w:t>mechanical tests, such as:</w:t>
            </w:r>
          </w:p>
          <w:p w:rsidR="00000000" w:rsidRPr="000375EB" w:rsidP="000375EB">
            <w:pPr>
              <w:pStyle w:val="ListBullet2"/>
            </w:pPr>
            <w:r w:rsidRPr="000375EB">
              <w:t>Emerson class</w:t>
            </w:r>
          </w:p>
          <w:p w:rsidR="00000000" w:rsidRPr="000375EB" w:rsidP="000375EB">
            <w:pPr>
              <w:pStyle w:val="ListBullet2"/>
            </w:pPr>
            <w:r w:rsidRPr="000375EB">
              <w:t>concrete slump</w:t>
            </w:r>
          </w:p>
          <w:p w:rsidR="00000000" w:rsidP="000375EB">
            <w:pPr>
              <w:pStyle w:val="BodyText"/>
              <w:rPr>
                <w:lang w:val="en-NZ"/>
              </w:rPr>
            </w:pPr>
          </w:p>
        </w:tc>
      </w:tr>
      <w:tr w:rsidTr="00613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 xml:space="preserve">Measurements </w:t>
            </w:r>
          </w:p>
        </w:tc>
        <w:tc>
          <w:tcPr>
            <w:tcW w:w="0" w:type="auto"/>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Measurements include, but are not limited to, one or more of:</w:t>
            </w:r>
          </w:p>
          <w:p w:rsidR="00000000" w:rsidRPr="000375EB" w:rsidP="000375EB">
            <w:pPr>
              <w:pStyle w:val="ListBullet"/>
            </w:pPr>
            <w:r w:rsidRPr="000375EB">
              <w:t>simple ground surveys</w:t>
            </w:r>
          </w:p>
          <w:p w:rsidR="00000000" w:rsidRPr="000375EB" w:rsidP="000375EB">
            <w:pPr>
              <w:pStyle w:val="ListBullet"/>
            </w:pPr>
            <w:r w:rsidRPr="000375EB">
              <w:t>meteorological parameters, such as wind direction/strength, rainfall, maximum/minimum temperature, humidity and solar radiation</w:t>
            </w:r>
          </w:p>
          <w:p w:rsidR="00000000" w:rsidRPr="000375EB" w:rsidP="000375EB">
            <w:pPr>
              <w:pStyle w:val="ListBullet"/>
            </w:pPr>
            <w:r w:rsidRPr="000375EB">
              <w:t>simple background radiation survey</w:t>
            </w:r>
          </w:p>
          <w:p w:rsidR="00000000" w:rsidRPr="000375EB" w:rsidP="000375EB">
            <w:pPr>
              <w:pStyle w:val="ListBullet"/>
            </w:pPr>
            <w:r w:rsidRPr="000375EB">
              <w:t>production/process parameters, such as temperature, flow and pressure</w:t>
            </w:r>
          </w:p>
          <w:p w:rsidR="00000000" w:rsidRPr="000375EB" w:rsidP="000375EB">
            <w:pPr>
              <w:pStyle w:val="ListBullet"/>
            </w:pPr>
            <w:r w:rsidRPr="000375EB">
              <w:t>gas levels in a confined space</w:t>
            </w:r>
          </w:p>
          <w:p w:rsidR="00000000" w:rsidP="000375EB">
            <w:pPr>
              <w:pStyle w:val="BodyText"/>
              <w:rPr>
                <w:lang w:val="en-NZ"/>
              </w:rPr>
            </w:pPr>
          </w:p>
        </w:tc>
      </w:tr>
      <w:tr w:rsidTr="00613A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75EB">
            <w:pPr>
              <w:pStyle w:val="BodyText"/>
              <w:rPr>
                <w:lang w:val="en-NZ"/>
              </w:rPr>
            </w:pPr>
            <w:r w:rsidRPr="000375E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375EB" w:rsidP="000375EB">
            <w:pPr>
              <w:pStyle w:val="BodyText"/>
            </w:pPr>
            <w:r w:rsidRPr="000375EB">
              <w:t>WHS and environmental management requirements include:</w:t>
            </w:r>
          </w:p>
          <w:p w:rsidR="00000000" w:rsidRPr="000375EB" w:rsidP="000375EB">
            <w:pPr>
              <w:pStyle w:val="BodyText"/>
            </w:pPr>
            <w:r w:rsidRPr="000375EB">
              <w:rPr>
                <w:rStyle w:val="Symbols"/>
              </w:rPr>
              <w:t></w:t>
            </w:r>
            <w:r w:rsidRPr="000375EB">
              <w:rPr>
                <w:rStyle w:val="Symbols"/>
              </w:rPr>
              <w:tab/>
            </w:r>
            <w:r w:rsidRPr="000375EB">
              <w:t>complying with WHS and environmental management requirements at all times, which may be imposed through state/territory</w:t>
            </w:r>
            <w:r w:rsidRPr="000375EB">
              <w:t xml:space="preserve"> or federal legislation. These requirements must not be compromised at any time</w:t>
            </w:r>
          </w:p>
          <w:p w:rsidR="00000000" w:rsidRPr="000375EB" w:rsidP="000375EB">
            <w:pPr>
              <w:pStyle w:val="BodyText"/>
            </w:pPr>
            <w:r w:rsidRPr="000375EB">
              <w:rPr>
                <w:rStyle w:val="Symbols"/>
              </w:rPr>
              <w:t></w:t>
            </w:r>
            <w:r w:rsidRPr="000375EB">
              <w:rPr>
                <w:rStyle w:val="Symbols"/>
              </w:rPr>
              <w:tab/>
            </w:r>
            <w:r w:rsidRPr="000375EB">
              <w:t>applying standard precautions relating to the potentially hazardous nature of samples</w:t>
            </w:r>
          </w:p>
          <w:p w:rsidR="00000000" w:rsidRPr="000375EB" w:rsidP="000375EB">
            <w:pPr>
              <w:pStyle w:val="ListBullet"/>
            </w:pPr>
            <w:r w:rsidRPr="000375EB">
              <w:t>accessing and applying current industry understanding of infection control issued by th</w:t>
            </w:r>
            <w:r w:rsidRPr="000375EB">
              <w:t>e National Health and Medical Research Council (NHMRC) and State and Territory Departments of Health, where relevant</w:t>
            </w:r>
          </w:p>
          <w:p w:rsidR="00000000" w:rsidRPr="000375EB" w:rsidP="000375EB">
            <w:pPr>
              <w:pStyle w:val="BodyText"/>
            </w:pPr>
          </w:p>
        </w:tc>
      </w:tr>
    </w:tbl>
    <w:p w:rsidR="00000000" w:rsidRPr="000375EB" w:rsidP="000375EB">
      <w:pPr>
        <w:pStyle w:val="BodyText"/>
      </w:pPr>
    </w:p>
    <w:p w:rsidR="00000000" w:rsidRPr="000375EB" w:rsidP="000375EB">
      <w:pPr>
        <w:pStyle w:val="AllowPageBreak"/>
      </w:pPr>
    </w:p>
    <w:p w:rsidR="00000000" w:rsidRPr="000375EB" w:rsidP="000375EB">
      <w:pPr>
        <w:pStyle w:val="Heading1"/>
      </w:pPr>
      <w:bookmarkStart w:id="9" w:name="O_890416"/>
      <w:bookmarkEnd w:id="9"/>
      <w:r w:rsidRPr="000375EB">
        <w:t>Unit Mapping Information</w:t>
      </w:r>
    </w:p>
    <w:p w:rsidR="00000000" w:rsidRPr="000375EB" w:rsidP="00613A30">
      <w:pPr>
        <w:pStyle w:val="BodyText"/>
      </w:pPr>
      <w:r w:rsidRPr="000375EB">
        <w:t>Release 1. Supersedes and is equivalent to MSL973001A Perform basic tests</w:t>
      </w:r>
    </w:p>
    <w:p w:rsidR="00000000" w:rsidRPr="000375EB" w:rsidP="000375EB">
      <w:pPr>
        <w:pStyle w:val="Heading1"/>
      </w:pPr>
      <w:bookmarkStart w:id="10" w:name="O_890409"/>
      <w:bookmarkEnd w:id="10"/>
      <w:r w:rsidRPr="000375EB">
        <w:t>Links</w:t>
      </w:r>
    </w:p>
    <w:p w:rsidR="00000000" w:rsidRPr="000375EB" w:rsidP="00613A30">
      <w:pPr>
        <w:pStyle w:val="BodyText"/>
      </w:pPr>
      <w:r w:rsidRPr="000375E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87ED4">
        <w:rPr>
          <w:rStyle w:val="Hyperlink"/>
        </w:rPr>
        <w:t>https://vetnet.gov.au/Pages/TrainingDocs.aspx?q=5c63a03b-4a6b-4ae5-9560-1e3c5f462baa</w:t>
      </w:r>
      <w:r>
        <w:fldChar w:fldCharType="end"/>
      </w:r>
    </w:p>
    <w:p w:rsidR="00000000" w:rsidRPr="000375EB" w:rsidP="000375EB"/>
    <w:sectPr w:rsidSect="000375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EB" w:rsidRPr="00613A30" w:rsidP="00613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30" w:rsidP="00037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3A30" w:rsidP="000375E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3A30" w:rsidP="000375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5EB" w:rsidRPr="00613A30" w:rsidP="00613A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30" w:rsidRPr="002D2AF8" w:rsidP="000375EB">
    <w:pPr>
      <w:pStyle w:val="Header"/>
      <w:framePr w:wrap="around"/>
    </w:pPr>
    <w:r>
      <w:fldChar w:fldCharType="begin"/>
    </w:r>
    <w:r>
      <w:instrText xml:space="preserve"> TITLE   \* MERGEFORMAT </w:instrText>
    </w:r>
    <w:r>
      <w:fldChar w:fldCharType="separate"/>
    </w:r>
    <w:r>
      <w:t>MSL973001 Perform basic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613A30" w:rsidP="000375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A7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22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06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5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5EB"/>
    <w:pPr>
      <w:spacing w:before="360" w:after="60"/>
      <w:outlineLvl w:val="0"/>
    </w:pPr>
    <w:rPr>
      <w:sz w:val="32"/>
    </w:rPr>
  </w:style>
  <w:style w:type="paragraph" w:styleId="Heading2">
    <w:name w:val="heading 2"/>
    <w:basedOn w:val="HeadingBase"/>
    <w:next w:val="BodyText"/>
    <w:link w:val="Heading2Char"/>
    <w:qFormat/>
    <w:rsid w:val="000375EB"/>
    <w:pPr>
      <w:keepLines/>
      <w:spacing w:before="240" w:after="120"/>
      <w:outlineLvl w:val="1"/>
    </w:pPr>
    <w:rPr>
      <w:sz w:val="28"/>
      <w:szCs w:val="40"/>
    </w:rPr>
  </w:style>
  <w:style w:type="paragraph" w:styleId="Heading3">
    <w:name w:val="heading 3"/>
    <w:basedOn w:val="HeadingBase"/>
    <w:next w:val="BodyText"/>
    <w:link w:val="Heading3Char"/>
    <w:qFormat/>
    <w:rsid w:val="000375EB"/>
    <w:pPr>
      <w:spacing w:before="180" w:after="120"/>
      <w:outlineLvl w:val="2"/>
    </w:pPr>
    <w:rPr>
      <w:spacing w:val="-10"/>
      <w:kern w:val="32"/>
    </w:rPr>
  </w:style>
  <w:style w:type="paragraph" w:styleId="Heading4">
    <w:name w:val="heading 4"/>
    <w:basedOn w:val="HeadingBase"/>
    <w:next w:val="BodyText"/>
    <w:link w:val="Heading4Char"/>
    <w:qFormat/>
    <w:rsid w:val="000375EB"/>
    <w:pPr>
      <w:spacing w:before="160" w:after="120"/>
      <w:outlineLvl w:val="3"/>
    </w:pPr>
    <w:rPr>
      <w:sz w:val="22"/>
    </w:rPr>
  </w:style>
  <w:style w:type="paragraph" w:styleId="Heading5">
    <w:name w:val="heading 5"/>
    <w:basedOn w:val="HeadingBase"/>
    <w:next w:val="Normal"/>
    <w:link w:val="Heading5Char"/>
    <w:qFormat/>
    <w:rsid w:val="000375EB"/>
    <w:pPr>
      <w:spacing w:before="80"/>
      <w:outlineLvl w:val="4"/>
    </w:pPr>
    <w:rPr>
      <w:color w:val="918585"/>
      <w:sz w:val="20"/>
    </w:rPr>
  </w:style>
  <w:style w:type="paragraph" w:styleId="Heading6">
    <w:name w:val="heading 6"/>
    <w:basedOn w:val="HeadingBase"/>
    <w:next w:val="Normal"/>
    <w:link w:val="Heading6Char"/>
    <w:qFormat/>
    <w:rsid w:val="000375EB"/>
    <w:pPr>
      <w:spacing w:before="60"/>
      <w:outlineLvl w:val="5"/>
    </w:pPr>
    <w:rPr>
      <w:color w:val="918585"/>
      <w:sz w:val="20"/>
    </w:rPr>
  </w:style>
  <w:style w:type="paragraph" w:styleId="Heading7">
    <w:name w:val="heading 7"/>
    <w:basedOn w:val="Normal"/>
    <w:next w:val="Normal"/>
    <w:link w:val="Heading7Char"/>
    <w:qFormat/>
    <w:rsid w:val="000375EB"/>
    <w:pPr>
      <w:ind w:left="720"/>
      <w:outlineLvl w:val="6"/>
    </w:pPr>
    <w:rPr>
      <w:i/>
    </w:rPr>
  </w:style>
  <w:style w:type="paragraph" w:styleId="Heading8">
    <w:name w:val="heading 8"/>
    <w:basedOn w:val="Normal"/>
    <w:next w:val="Normal"/>
    <w:link w:val="Heading8Char"/>
    <w:qFormat/>
    <w:rsid w:val="000375EB"/>
    <w:pPr>
      <w:ind w:left="720"/>
      <w:outlineLvl w:val="7"/>
    </w:pPr>
    <w:rPr>
      <w:i/>
    </w:rPr>
  </w:style>
  <w:style w:type="paragraph" w:styleId="Heading9">
    <w:name w:val="heading 9"/>
    <w:basedOn w:val="Normal"/>
    <w:next w:val="Normal"/>
    <w:link w:val="Heading9Char"/>
    <w:qFormat/>
    <w:rsid w:val="000375EB"/>
    <w:pPr>
      <w:ind w:left="720"/>
      <w:outlineLvl w:val="8"/>
    </w:pPr>
    <w:rPr>
      <w:i/>
    </w:rPr>
  </w:style>
  <w:style w:type="character" w:default="1" w:styleId="DefaultParagraphFont">
    <w:name w:val="Default Paragraph Font"/>
    <w:uiPriority w:val="1"/>
    <w:unhideWhenUsed/>
    <w:rsid w:val="00037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5EB"/>
  </w:style>
  <w:style w:type="character" w:customStyle="1" w:styleId="Heading1Char">
    <w:name w:val="Heading 1 Char"/>
    <w:basedOn w:val="DefaultParagraphFont"/>
    <w:link w:val="Heading1"/>
    <w:rsid w:val="000375EB"/>
    <w:rPr>
      <w:rFonts w:ascii="Times New Roman" w:eastAsia="Times New Roman" w:hAnsi="Times New Roman" w:cs="Times New Roman"/>
      <w:b/>
      <w:sz w:val="32"/>
      <w:szCs w:val="20"/>
      <w:lang w:eastAsia="en-US"/>
    </w:rPr>
  </w:style>
  <w:style w:type="paragraph" w:styleId="BodyText">
    <w:name w:val="Body Text"/>
    <w:basedOn w:val="Normal"/>
    <w:link w:val="BodyTextChar"/>
    <w:rsid w:val="000375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5EB"/>
    <w:rPr>
      <w:rFonts w:ascii="Times New Roman" w:eastAsia="Times New Roman" w:hAnsi="Times New Roman" w:cs="Times New Roman"/>
      <w:sz w:val="24"/>
      <w:lang w:eastAsia="en-US"/>
    </w:rPr>
  </w:style>
  <w:style w:type="paragraph" w:styleId="ListBullet">
    <w:name w:val="List Bullet"/>
    <w:basedOn w:val="List"/>
    <w:rsid w:val="000375EB"/>
    <w:pPr>
      <w:numPr>
        <w:numId w:val="12"/>
      </w:numPr>
      <w:tabs>
        <w:tab w:val="clear" w:pos="340"/>
      </w:tabs>
      <w:spacing w:before="40" w:after="40"/>
    </w:pPr>
  </w:style>
  <w:style w:type="character" w:customStyle="1" w:styleId="SpecialBold">
    <w:name w:val="Special Bold"/>
    <w:basedOn w:val="DefaultParagraphFont"/>
    <w:rsid w:val="000375EB"/>
    <w:rPr>
      <w:b/>
      <w:spacing w:val="0"/>
    </w:rPr>
  </w:style>
  <w:style w:type="paragraph" w:styleId="ListBullet2">
    <w:name w:val="List Bullet 2"/>
    <w:basedOn w:val="List2"/>
    <w:rsid w:val="000375EB"/>
    <w:pPr>
      <w:numPr>
        <w:numId w:val="13"/>
      </w:numPr>
      <w:tabs>
        <w:tab w:val="clear" w:pos="680"/>
      </w:tabs>
    </w:pPr>
  </w:style>
  <w:style w:type="paragraph" w:customStyle="1" w:styleId="SuperHeading">
    <w:name w:val="SuperHeading"/>
    <w:basedOn w:val="Normal"/>
    <w:rsid w:val="000375EB"/>
    <w:pPr>
      <w:spacing w:before="240" w:after="120"/>
      <w:outlineLvl w:val="0"/>
    </w:pPr>
    <w:rPr>
      <w:rFonts w:ascii="Times New Roman" w:hAnsi="Times New Roman"/>
      <w:b/>
      <w:sz w:val="32"/>
    </w:rPr>
  </w:style>
  <w:style w:type="paragraph" w:customStyle="1" w:styleId="AllowPageBreak">
    <w:name w:val="AllowPageBreak"/>
    <w:rsid w:val="000375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375EB"/>
    <w:rPr>
      <w:rFonts w:ascii="Symbol" w:hAnsi="Symbol"/>
    </w:rPr>
  </w:style>
  <w:style w:type="character" w:customStyle="1" w:styleId="Heading2Char">
    <w:name w:val="Heading 2 Char"/>
    <w:basedOn w:val="DefaultParagraphFont"/>
    <w:link w:val="Heading2"/>
    <w:rsid w:val="00037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5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5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5EB"/>
    <w:rPr>
      <w:rFonts w:ascii="Courier New" w:eastAsia="Times New Roman" w:hAnsi="Courier New" w:cs="Times New Roman"/>
      <w:i/>
      <w:szCs w:val="20"/>
      <w:lang w:eastAsia="en-US"/>
    </w:rPr>
  </w:style>
  <w:style w:type="paragraph" w:customStyle="1" w:styleId="HeadingBase">
    <w:name w:val="Heading Base"/>
    <w:rsid w:val="00037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5EB"/>
    <w:pPr>
      <w:tabs>
        <w:tab w:val="right" w:leader="dot" w:pos="9072"/>
      </w:tabs>
      <w:ind w:left="567"/>
    </w:pPr>
    <w:rPr>
      <w:szCs w:val="22"/>
    </w:rPr>
  </w:style>
  <w:style w:type="paragraph" w:customStyle="1" w:styleId="TOCBase">
    <w:name w:val="TOC Base"/>
    <w:rsid w:val="00037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5EB"/>
    <w:pPr>
      <w:tabs>
        <w:tab w:val="right" w:leader="dot" w:pos="9072"/>
      </w:tabs>
      <w:spacing w:before="40" w:after="40"/>
      <w:ind w:left="284"/>
    </w:pPr>
    <w:rPr>
      <w:rFonts w:ascii="Times New Roman" w:hAnsi="Times New Roman"/>
    </w:rPr>
  </w:style>
  <w:style w:type="paragraph" w:styleId="TOC1">
    <w:name w:val="toc 1"/>
    <w:basedOn w:val="TOCBase"/>
    <w:next w:val="Normal"/>
    <w:rsid w:val="000375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5EB"/>
    <w:rPr>
      <w:rFonts w:ascii="Times New Roman" w:eastAsia="Times New Roman" w:hAnsi="Times New Roman" w:cs="Times New Roman"/>
      <w:sz w:val="16"/>
      <w:lang w:eastAsia="en-US"/>
    </w:rPr>
  </w:style>
  <w:style w:type="paragraph" w:styleId="Title">
    <w:name w:val="Title"/>
    <w:basedOn w:val="HeadingBase"/>
    <w:link w:val="TitleChar"/>
    <w:qFormat/>
    <w:rsid w:val="000375EB"/>
    <w:pPr>
      <w:spacing w:before="5040"/>
      <w:jc w:val="center"/>
    </w:pPr>
    <w:rPr>
      <w:sz w:val="48"/>
      <w:szCs w:val="72"/>
      <w:lang w:val="en-US"/>
    </w:rPr>
  </w:style>
  <w:style w:type="character" w:customStyle="1" w:styleId="TitleChar">
    <w:name w:val="Title Char"/>
    <w:basedOn w:val="DefaultParagraphFont"/>
    <w:link w:val="Title"/>
    <w:rsid w:val="00037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5EB"/>
    <w:pPr>
      <w:tabs>
        <w:tab w:val="left" w:pos="3600"/>
        <w:tab w:val="left" w:pos="3958"/>
      </w:tabs>
    </w:pPr>
  </w:style>
  <w:style w:type="paragraph" w:styleId="List">
    <w:name w:val="List"/>
    <w:basedOn w:val="BodyText"/>
    <w:next w:val="BodyText"/>
    <w:rsid w:val="000375EB"/>
    <w:pPr>
      <w:tabs>
        <w:tab w:val="left" w:pos="340"/>
      </w:tabs>
      <w:spacing w:before="60" w:after="60"/>
      <w:ind w:left="340" w:hanging="340"/>
    </w:pPr>
  </w:style>
  <w:style w:type="paragraph" w:customStyle="1" w:styleId="Note">
    <w:name w:val="Note"/>
    <w:basedOn w:val="BodyText"/>
    <w:rsid w:val="00037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5EB"/>
    <w:pPr>
      <w:framePr w:wrap="auto" w:hAnchor="text" w:y="6049"/>
    </w:pPr>
    <w:rPr>
      <w:color w:val="000000"/>
      <w:sz w:val="40"/>
    </w:rPr>
  </w:style>
  <w:style w:type="paragraph" w:customStyle="1" w:styleId="TOCTitle">
    <w:name w:val="TOCTitle"/>
    <w:basedOn w:val="Heading1"/>
    <w:rsid w:val="000375EB"/>
    <w:pPr>
      <w:spacing w:after="240"/>
      <w:jc w:val="center"/>
      <w:outlineLvl w:val="9"/>
    </w:pPr>
    <w:rPr>
      <w:caps/>
    </w:rPr>
  </w:style>
  <w:style w:type="paragraph" w:customStyle="1" w:styleId="Version">
    <w:name w:val="Version"/>
    <w:rsid w:val="000375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5EB"/>
    <w:pPr>
      <w:keepNext w:val="0"/>
      <w:tabs>
        <w:tab w:val="right" w:pos="4176"/>
      </w:tabs>
      <w:ind w:left="198" w:hanging="198"/>
    </w:pPr>
    <w:rPr>
      <w:rFonts w:ascii="Garamond" w:hAnsi="Garamond"/>
    </w:rPr>
  </w:style>
  <w:style w:type="paragraph" w:styleId="IndexHeading">
    <w:name w:val="index heading"/>
    <w:basedOn w:val="Normal"/>
    <w:next w:val="Index1"/>
    <w:semiHidden/>
    <w:rsid w:val="000375EB"/>
    <w:pPr>
      <w:spacing w:before="120" w:after="120"/>
    </w:pPr>
    <w:rPr>
      <w:rFonts w:ascii="Arial" w:hAnsi="Arial"/>
      <w:b/>
      <w:color w:val="918585"/>
      <w:sz w:val="24"/>
    </w:rPr>
  </w:style>
  <w:style w:type="paragraph" w:styleId="Header">
    <w:name w:val="header"/>
    <w:basedOn w:val="Normal"/>
    <w:link w:val="HeaderChar"/>
    <w:rsid w:val="00037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5EB"/>
    <w:rPr>
      <w:rFonts w:ascii="Times New Roman" w:eastAsia="Times New Roman" w:hAnsi="Times New Roman" w:cs="Times New Roman"/>
      <w:sz w:val="16"/>
      <w:szCs w:val="20"/>
      <w:lang w:val="en-GB" w:eastAsia="en-US"/>
    </w:rPr>
  </w:style>
  <w:style w:type="paragraph" w:customStyle="1" w:styleId="Chapter">
    <w:name w:val="Chapter"/>
    <w:basedOn w:val="Normal"/>
    <w:rsid w:val="000375EB"/>
    <w:pPr>
      <w:spacing w:before="240"/>
    </w:pPr>
    <w:rPr>
      <w:rFonts w:ascii="Times New Roman" w:hAnsi="Times New Roman"/>
      <w:smallCaps/>
      <w:spacing w:val="80"/>
      <w:sz w:val="28"/>
    </w:rPr>
  </w:style>
  <w:style w:type="paragraph" w:customStyle="1" w:styleId="InChapter">
    <w:name w:val="InChapter"/>
    <w:basedOn w:val="Heading3"/>
    <w:rsid w:val="000375EB"/>
    <w:pPr>
      <w:spacing w:after="240"/>
      <w:outlineLvl w:val="9"/>
    </w:pPr>
    <w:rPr>
      <w:noProof/>
    </w:rPr>
  </w:style>
  <w:style w:type="paragraph" w:styleId="Index2">
    <w:name w:val="index 2"/>
    <w:basedOn w:val="Normal"/>
    <w:next w:val="Normal"/>
    <w:semiHidden/>
    <w:rsid w:val="000375EB"/>
    <w:pPr>
      <w:tabs>
        <w:tab w:val="right" w:pos="4176"/>
      </w:tabs>
      <w:ind w:left="568" w:hanging="284"/>
    </w:pPr>
    <w:rPr>
      <w:rFonts w:ascii="Garamond" w:hAnsi="Garamond"/>
    </w:rPr>
  </w:style>
  <w:style w:type="paragraph" w:customStyle="1" w:styleId="Byline">
    <w:name w:val="Byline"/>
    <w:rsid w:val="00037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5EB"/>
    <w:pPr>
      <w:tabs>
        <w:tab w:val="clear" w:pos="3600"/>
        <w:tab w:val="clear" w:pos="3958"/>
      </w:tabs>
      <w:jc w:val="right"/>
    </w:pPr>
  </w:style>
  <w:style w:type="character" w:styleId="Emphasis">
    <w:name w:val="Emphasis"/>
    <w:basedOn w:val="DefaultParagraphFont"/>
    <w:qFormat/>
    <w:rsid w:val="000375EB"/>
    <w:rPr>
      <w:i/>
    </w:rPr>
  </w:style>
  <w:style w:type="paragraph" w:styleId="Caption">
    <w:name w:val="caption"/>
    <w:basedOn w:val="BodyText"/>
    <w:next w:val="Normal"/>
    <w:qFormat/>
    <w:rsid w:val="000375EB"/>
    <w:pPr>
      <w:framePr w:w="2268" w:hSpace="181" w:vSpace="181" w:wrap="around" w:vAnchor="text" w:hAnchor="page" w:x="1135" w:y="285" w:anchorLock="1"/>
    </w:pPr>
    <w:rPr>
      <w:i/>
    </w:rPr>
  </w:style>
  <w:style w:type="paragraph" w:customStyle="1" w:styleId="MiniTOCTitle">
    <w:name w:val="MiniTOCTitle"/>
    <w:basedOn w:val="Heading4"/>
    <w:rsid w:val="000375EB"/>
    <w:pPr>
      <w:spacing w:before="240"/>
      <w:outlineLvl w:val="9"/>
    </w:pPr>
    <w:rPr>
      <w:noProof/>
      <w:sz w:val="24"/>
    </w:rPr>
  </w:style>
  <w:style w:type="paragraph" w:customStyle="1" w:styleId="MiniTOCItem">
    <w:name w:val="MiniTOCItem"/>
    <w:basedOn w:val="ListBullet"/>
    <w:rsid w:val="000375EB"/>
    <w:pPr>
      <w:numPr>
        <w:numId w:val="0"/>
      </w:numPr>
      <w:tabs>
        <w:tab w:val="right" w:leader="dot" w:pos="6521"/>
      </w:tabs>
      <w:spacing w:before="0" w:after="0"/>
    </w:pPr>
  </w:style>
  <w:style w:type="paragraph" w:customStyle="1" w:styleId="TOFTitle">
    <w:name w:val="TOFTitle"/>
    <w:basedOn w:val="TOCTitle"/>
    <w:rsid w:val="000375EB"/>
  </w:style>
  <w:style w:type="paragraph" w:styleId="TableofFigures">
    <w:name w:val="table of figures"/>
    <w:basedOn w:val="Normal"/>
    <w:next w:val="Normal"/>
    <w:semiHidden/>
    <w:rsid w:val="000375EB"/>
    <w:pPr>
      <w:tabs>
        <w:tab w:val="right" w:leader="dot" w:pos="9072"/>
      </w:tabs>
      <w:ind w:left="970" w:hanging="403"/>
    </w:pPr>
    <w:rPr>
      <w:rFonts w:ascii="Times New Roman" w:hAnsi="Times New Roman"/>
      <w:b/>
    </w:rPr>
  </w:style>
  <w:style w:type="paragraph" w:styleId="ListNumber">
    <w:name w:val="List Number"/>
    <w:basedOn w:val="List"/>
    <w:rsid w:val="000375EB"/>
    <w:pPr>
      <w:numPr>
        <w:numId w:val="15"/>
      </w:numPr>
      <w:tabs>
        <w:tab w:val="clear" w:pos="340"/>
      </w:tabs>
    </w:pPr>
  </w:style>
  <w:style w:type="character" w:customStyle="1" w:styleId="WingdingSymbols">
    <w:name w:val="Wingding Symbols"/>
    <w:rsid w:val="000375EB"/>
    <w:rPr>
      <w:rFonts w:ascii="Wingdings" w:hAnsi="Wingdings"/>
    </w:rPr>
  </w:style>
  <w:style w:type="paragraph" w:customStyle="1" w:styleId="TableHeading">
    <w:name w:val="Table Heading"/>
    <w:basedOn w:val="HeadingBase"/>
    <w:rsid w:val="000375EB"/>
    <w:pPr>
      <w:keepLines/>
      <w:pBdr>
        <w:bottom w:val="single" w:sz="6" w:space="1" w:color="918585"/>
      </w:pBdr>
      <w:spacing w:before="240"/>
    </w:pPr>
  </w:style>
  <w:style w:type="character" w:customStyle="1" w:styleId="HotSpot">
    <w:name w:val="HotSpot"/>
    <w:rsid w:val="000375EB"/>
    <w:rPr>
      <w:color w:val="0033CC"/>
      <w:u w:val="none"/>
    </w:rPr>
  </w:style>
  <w:style w:type="paragraph" w:customStyle="1" w:styleId="BodyTextRight">
    <w:name w:val="Body Text Right"/>
    <w:basedOn w:val="BodyText"/>
    <w:rsid w:val="000375EB"/>
    <w:pPr>
      <w:spacing w:before="0" w:after="0"/>
      <w:jc w:val="right"/>
    </w:pPr>
  </w:style>
  <w:style w:type="paragraph" w:styleId="Index3">
    <w:name w:val="index 3"/>
    <w:basedOn w:val="ListNumber2"/>
    <w:next w:val="Normal"/>
    <w:semiHidden/>
    <w:rsid w:val="000375EB"/>
    <w:pPr>
      <w:numPr>
        <w:numId w:val="0"/>
      </w:numPr>
      <w:tabs>
        <w:tab w:val="right" w:leader="dot" w:pos="4176"/>
      </w:tabs>
    </w:pPr>
  </w:style>
  <w:style w:type="paragraph" w:styleId="ListNumber2">
    <w:name w:val="List Number 2"/>
    <w:basedOn w:val="List2"/>
    <w:rsid w:val="000375EB"/>
    <w:pPr>
      <w:numPr>
        <w:numId w:val="10"/>
      </w:numPr>
      <w:tabs>
        <w:tab w:val="clear" w:pos="1060"/>
      </w:tabs>
    </w:pPr>
  </w:style>
  <w:style w:type="paragraph" w:customStyle="1" w:styleId="MarginNote">
    <w:name w:val="Margin Note"/>
    <w:basedOn w:val="BodyText"/>
    <w:rsid w:val="00037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5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5EB"/>
    <w:rPr>
      <w:sz w:val="32"/>
    </w:rPr>
  </w:style>
  <w:style w:type="paragraph" w:customStyle="1" w:styleId="HeadingProcedure">
    <w:name w:val="Heading Procedure"/>
    <w:basedOn w:val="HeadingBase"/>
    <w:next w:val="Normal"/>
    <w:rsid w:val="000375EB"/>
    <w:pPr>
      <w:tabs>
        <w:tab w:val="left" w:pos="0"/>
      </w:tabs>
      <w:spacing w:before="120" w:after="60"/>
    </w:pPr>
    <w:rPr>
      <w:i/>
      <w:color w:val="918585"/>
      <w:sz w:val="22"/>
    </w:rPr>
  </w:style>
  <w:style w:type="paragraph" w:customStyle="1" w:styleId="TableBodyText">
    <w:name w:val="Table Body Text"/>
    <w:basedOn w:val="BodyText"/>
    <w:rsid w:val="000375EB"/>
    <w:pPr>
      <w:spacing w:before="60" w:after="60"/>
    </w:pPr>
  </w:style>
  <w:style w:type="paragraph" w:styleId="ListContinue">
    <w:name w:val="List Continue"/>
    <w:basedOn w:val="List"/>
    <w:rsid w:val="000375EB"/>
    <w:pPr>
      <w:ind w:firstLine="0"/>
    </w:pPr>
  </w:style>
  <w:style w:type="paragraph" w:customStyle="1" w:styleId="ListNote">
    <w:name w:val="List Note"/>
    <w:basedOn w:val="List"/>
    <w:rsid w:val="000375EB"/>
    <w:pPr>
      <w:pBdr>
        <w:top w:val="single" w:sz="6" w:space="2" w:color="918585"/>
        <w:bottom w:val="single" w:sz="6" w:space="2" w:color="918585"/>
      </w:pBdr>
      <w:tabs>
        <w:tab w:val="left" w:pos="1021"/>
      </w:tabs>
      <w:ind w:firstLine="0"/>
    </w:pPr>
  </w:style>
  <w:style w:type="paragraph" w:customStyle="1" w:styleId="Warning">
    <w:name w:val="Warning"/>
    <w:basedOn w:val="BodyText"/>
    <w:rsid w:val="000375EB"/>
    <w:pPr>
      <w:shd w:val="clear" w:color="auto" w:fill="D9D9D9"/>
      <w:tabs>
        <w:tab w:val="left" w:pos="992"/>
      </w:tabs>
      <w:ind w:left="119" w:right="119"/>
    </w:pPr>
    <w:rPr>
      <w:sz w:val="20"/>
    </w:rPr>
  </w:style>
  <w:style w:type="paragraph" w:customStyle="1" w:styleId="MarginIcons">
    <w:name w:val="Margin Icons"/>
    <w:basedOn w:val="BodyText"/>
    <w:rsid w:val="00037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5EB"/>
    <w:rPr>
      <w:rFonts w:ascii="Courier New" w:hAnsi="Courier New"/>
    </w:rPr>
  </w:style>
  <w:style w:type="paragraph" w:customStyle="1" w:styleId="NoteBullet">
    <w:name w:val="Note Bullet"/>
    <w:basedOn w:val="Note"/>
    <w:rsid w:val="000375EB"/>
    <w:pPr>
      <w:tabs>
        <w:tab w:val="clear" w:pos="680"/>
      </w:tabs>
      <w:spacing w:before="60" w:after="60"/>
    </w:pPr>
  </w:style>
  <w:style w:type="paragraph" w:customStyle="1" w:styleId="SubHeading2">
    <w:name w:val="SubHeading2"/>
    <w:basedOn w:val="HeadingBase"/>
    <w:rsid w:val="000375EB"/>
    <w:pPr>
      <w:spacing w:before="240" w:after="60"/>
    </w:pPr>
    <w:rPr>
      <w:sz w:val="20"/>
    </w:rPr>
  </w:style>
  <w:style w:type="paragraph" w:customStyle="1" w:styleId="SubHeading1">
    <w:name w:val="SubHeading1"/>
    <w:basedOn w:val="HeadingBase"/>
    <w:rsid w:val="000375EB"/>
    <w:pPr>
      <w:spacing w:before="240" w:after="60"/>
    </w:pPr>
    <w:rPr>
      <w:color w:val="918585"/>
      <w:sz w:val="22"/>
    </w:rPr>
  </w:style>
  <w:style w:type="paragraph" w:customStyle="1" w:styleId="SideHeading">
    <w:name w:val="Side Heading"/>
    <w:basedOn w:val="HeadingBase"/>
    <w:rsid w:val="00037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5EB"/>
    <w:pPr>
      <w:tabs>
        <w:tab w:val="num" w:pos="360"/>
      </w:tabs>
    </w:pPr>
  </w:style>
  <w:style w:type="paragraph" w:styleId="PlainText">
    <w:name w:val="Plain Text"/>
    <w:basedOn w:val="Normal"/>
    <w:link w:val="PlainTextChar"/>
    <w:rsid w:val="000375EB"/>
    <w:rPr>
      <w:sz w:val="20"/>
    </w:rPr>
  </w:style>
  <w:style w:type="character" w:customStyle="1" w:styleId="PlainTextChar">
    <w:name w:val="Plain Text Char"/>
    <w:basedOn w:val="DefaultParagraphFont"/>
    <w:link w:val="PlainText"/>
    <w:rsid w:val="000375EB"/>
    <w:rPr>
      <w:rFonts w:ascii="Courier New" w:eastAsia="Times New Roman" w:hAnsi="Courier New" w:cs="Times New Roman"/>
      <w:sz w:val="20"/>
      <w:szCs w:val="20"/>
      <w:lang w:eastAsia="en-US"/>
    </w:rPr>
  </w:style>
  <w:style w:type="character" w:customStyle="1" w:styleId="MenuOption">
    <w:name w:val="Menu Option"/>
    <w:basedOn w:val="DefaultParagraphFont"/>
    <w:rsid w:val="000375EB"/>
    <w:rPr>
      <w:b/>
      <w:smallCaps/>
    </w:rPr>
  </w:style>
  <w:style w:type="paragraph" w:customStyle="1" w:styleId="TableListNumber">
    <w:name w:val="Table List Number"/>
    <w:basedOn w:val="ListNumber"/>
    <w:rsid w:val="000375EB"/>
    <w:pPr>
      <w:numPr>
        <w:numId w:val="0"/>
      </w:numPr>
    </w:pPr>
  </w:style>
  <w:style w:type="paragraph" w:styleId="TOC4">
    <w:name w:val="toc 4"/>
    <w:basedOn w:val="TOCBase"/>
    <w:next w:val="Normal"/>
    <w:semiHidden/>
    <w:rsid w:val="000375EB"/>
    <w:pPr>
      <w:tabs>
        <w:tab w:val="right" w:leader="dot" w:pos="9071"/>
      </w:tabs>
      <w:ind w:left="1701"/>
    </w:pPr>
  </w:style>
  <w:style w:type="paragraph" w:customStyle="1" w:styleId="ListAlpha">
    <w:name w:val="List Alpha"/>
    <w:basedOn w:val="List"/>
    <w:rsid w:val="000375EB"/>
    <w:pPr>
      <w:numPr>
        <w:numId w:val="9"/>
      </w:numPr>
    </w:pPr>
  </w:style>
  <w:style w:type="paragraph" w:customStyle="1" w:styleId="ListAlpha2">
    <w:name w:val="List Alpha 2"/>
    <w:basedOn w:val="List2"/>
    <w:rsid w:val="000375EB"/>
    <w:pPr>
      <w:numPr>
        <w:numId w:val="8"/>
      </w:numPr>
    </w:pPr>
  </w:style>
  <w:style w:type="paragraph" w:styleId="List2">
    <w:name w:val="List 2"/>
    <w:basedOn w:val="BodyText"/>
    <w:rsid w:val="000375EB"/>
    <w:pPr>
      <w:tabs>
        <w:tab w:val="left" w:pos="680"/>
      </w:tabs>
      <w:spacing w:before="60" w:after="60"/>
      <w:ind w:left="680" w:hanging="340"/>
    </w:pPr>
  </w:style>
  <w:style w:type="paragraph" w:styleId="List3">
    <w:name w:val="List 3"/>
    <w:basedOn w:val="BodyText"/>
    <w:rsid w:val="000375EB"/>
    <w:pPr>
      <w:tabs>
        <w:tab w:val="left" w:pos="1021"/>
      </w:tabs>
      <w:spacing w:before="60" w:after="60"/>
      <w:ind w:left="1020" w:hanging="340"/>
    </w:pPr>
  </w:style>
  <w:style w:type="paragraph" w:styleId="List4">
    <w:name w:val="List 4"/>
    <w:basedOn w:val="BodyText"/>
    <w:rsid w:val="000375EB"/>
    <w:pPr>
      <w:tabs>
        <w:tab w:val="left" w:pos="1361"/>
      </w:tabs>
      <w:spacing w:before="60" w:after="60"/>
      <w:ind w:left="1361" w:hanging="340"/>
    </w:pPr>
  </w:style>
  <w:style w:type="paragraph" w:styleId="List5">
    <w:name w:val="List 5"/>
    <w:basedOn w:val="BodyText"/>
    <w:rsid w:val="000375EB"/>
    <w:pPr>
      <w:tabs>
        <w:tab w:val="left" w:pos="1701"/>
      </w:tabs>
      <w:spacing w:before="60" w:after="60"/>
      <w:ind w:left="1701" w:hanging="340"/>
    </w:pPr>
  </w:style>
  <w:style w:type="paragraph" w:styleId="ListBullet3">
    <w:name w:val="List Bullet 3"/>
    <w:basedOn w:val="List3"/>
    <w:rsid w:val="000375EB"/>
    <w:pPr>
      <w:numPr>
        <w:numId w:val="14"/>
      </w:numPr>
      <w:tabs>
        <w:tab w:val="clear" w:pos="1021"/>
      </w:tabs>
      <w:ind w:left="1037" w:hanging="357"/>
    </w:pPr>
  </w:style>
  <w:style w:type="paragraph" w:styleId="ListBullet4">
    <w:name w:val="List Bullet 4"/>
    <w:basedOn w:val="List4"/>
    <w:rsid w:val="000375EB"/>
    <w:pPr>
      <w:numPr>
        <w:numId w:val="3"/>
      </w:numPr>
      <w:tabs>
        <w:tab w:val="clear" w:pos="1361"/>
      </w:tabs>
    </w:pPr>
  </w:style>
  <w:style w:type="paragraph" w:styleId="ListBullet5">
    <w:name w:val="List Bullet 5"/>
    <w:basedOn w:val="List5"/>
    <w:rsid w:val="000375EB"/>
    <w:pPr>
      <w:numPr>
        <w:numId w:val="4"/>
      </w:numPr>
    </w:pPr>
  </w:style>
  <w:style w:type="paragraph" w:styleId="ListContinue2">
    <w:name w:val="List Continue 2"/>
    <w:basedOn w:val="List2"/>
    <w:rsid w:val="000375EB"/>
    <w:pPr>
      <w:ind w:firstLine="0"/>
    </w:pPr>
  </w:style>
  <w:style w:type="paragraph" w:styleId="ListContinue3">
    <w:name w:val="List Continue 3"/>
    <w:basedOn w:val="List3"/>
    <w:rsid w:val="000375EB"/>
    <w:pPr>
      <w:ind w:left="1021" w:firstLine="0"/>
    </w:pPr>
  </w:style>
  <w:style w:type="paragraph" w:styleId="ListContinue4">
    <w:name w:val="List Continue 4"/>
    <w:basedOn w:val="List4"/>
    <w:rsid w:val="000375EB"/>
    <w:pPr>
      <w:ind w:firstLine="0"/>
    </w:pPr>
  </w:style>
  <w:style w:type="paragraph" w:styleId="ListContinue5">
    <w:name w:val="List Continue 5"/>
    <w:basedOn w:val="List5"/>
    <w:rsid w:val="000375EB"/>
    <w:pPr>
      <w:ind w:firstLine="0"/>
    </w:pPr>
  </w:style>
  <w:style w:type="paragraph" w:styleId="ListNumber3">
    <w:name w:val="List Number 3"/>
    <w:basedOn w:val="List3"/>
    <w:rsid w:val="000375EB"/>
    <w:pPr>
      <w:numPr>
        <w:numId w:val="5"/>
      </w:numPr>
    </w:pPr>
  </w:style>
  <w:style w:type="paragraph" w:styleId="ListNumber4">
    <w:name w:val="List Number 4"/>
    <w:basedOn w:val="List4"/>
    <w:rsid w:val="000375EB"/>
    <w:pPr>
      <w:numPr>
        <w:numId w:val="6"/>
      </w:numPr>
    </w:pPr>
  </w:style>
  <w:style w:type="paragraph" w:styleId="ListNumber5">
    <w:name w:val="List Number 5"/>
    <w:basedOn w:val="List5"/>
    <w:rsid w:val="000375EB"/>
    <w:pPr>
      <w:numPr>
        <w:numId w:val="7"/>
      </w:numPr>
    </w:pPr>
  </w:style>
  <w:style w:type="paragraph" w:styleId="BlockText">
    <w:name w:val="Block Text"/>
    <w:basedOn w:val="Normal"/>
    <w:rsid w:val="000375EB"/>
    <w:pPr>
      <w:spacing w:after="120"/>
      <w:ind w:left="1440" w:right="1440"/>
    </w:pPr>
  </w:style>
  <w:style w:type="character" w:customStyle="1" w:styleId="Subscript">
    <w:name w:val="Subscript"/>
    <w:basedOn w:val="DefaultParagraphFont"/>
    <w:rsid w:val="000375EB"/>
    <w:rPr>
      <w:sz w:val="16"/>
      <w:vertAlign w:val="subscript"/>
    </w:rPr>
  </w:style>
  <w:style w:type="character" w:customStyle="1" w:styleId="Superscript">
    <w:name w:val="Superscript"/>
    <w:basedOn w:val="DefaultParagraphFont"/>
    <w:rsid w:val="000375EB"/>
    <w:rPr>
      <w:sz w:val="16"/>
      <w:vertAlign w:val="superscript"/>
    </w:rPr>
  </w:style>
  <w:style w:type="character" w:customStyle="1" w:styleId="MenuOptions">
    <w:name w:val="Menu Options"/>
    <w:basedOn w:val="DefaultParagraphFont"/>
    <w:rsid w:val="000375EB"/>
    <w:rPr>
      <w:rFonts w:ascii="Arial Narrow" w:hAnsi="Arial Narrow"/>
      <w:smallCaps/>
    </w:rPr>
  </w:style>
  <w:style w:type="character" w:customStyle="1" w:styleId="Buttons">
    <w:name w:val="Buttons"/>
    <w:basedOn w:val="DefaultParagraphFont"/>
    <w:rsid w:val="000375EB"/>
    <w:rPr>
      <w:b/>
    </w:rPr>
  </w:style>
  <w:style w:type="character" w:customStyle="1" w:styleId="Underlined">
    <w:name w:val="Underlined"/>
    <w:basedOn w:val="DefaultParagraphFont"/>
    <w:rsid w:val="000375EB"/>
    <w:rPr>
      <w:u w:val="single"/>
    </w:rPr>
  </w:style>
  <w:style w:type="paragraph" w:customStyle="1" w:styleId="TableBodyTextRight">
    <w:name w:val="Table Body Text Right"/>
    <w:basedOn w:val="TableBodyText"/>
    <w:rsid w:val="000375EB"/>
    <w:pPr>
      <w:widowControl w:val="0"/>
      <w:autoSpaceDE w:val="0"/>
      <w:autoSpaceDN w:val="0"/>
      <w:adjustRightInd w:val="0"/>
      <w:jc w:val="right"/>
    </w:pPr>
    <w:rPr>
      <w:rFonts w:cs="Arial"/>
      <w:szCs w:val="18"/>
    </w:rPr>
  </w:style>
  <w:style w:type="paragraph" w:customStyle="1" w:styleId="CopyrightText">
    <w:name w:val="Copyright Text"/>
    <w:basedOn w:val="BodyText"/>
    <w:rsid w:val="000375EB"/>
    <w:rPr>
      <w:sz w:val="18"/>
    </w:rPr>
  </w:style>
  <w:style w:type="paragraph" w:customStyle="1" w:styleId="BodySmallRight">
    <w:name w:val="Body Small Right"/>
    <w:basedOn w:val="BodyTextRight"/>
    <w:rsid w:val="000375EB"/>
    <w:rPr>
      <w:sz w:val="18"/>
      <w:szCs w:val="18"/>
    </w:rPr>
  </w:style>
  <w:style w:type="paragraph" w:customStyle="1" w:styleId="MarginEdition">
    <w:name w:val="Margin Edition"/>
    <w:basedOn w:val="MarginNote"/>
    <w:rsid w:val="000375EB"/>
    <w:pPr>
      <w:spacing w:before="0" w:after="0"/>
    </w:pPr>
    <w:rPr>
      <w:rFonts w:ascii="Times New Roman" w:hAnsi="Times New Roman"/>
      <w:color w:val="999999"/>
    </w:rPr>
  </w:style>
  <w:style w:type="paragraph" w:customStyle="1" w:styleId="Spacer">
    <w:name w:val="Spacer"/>
    <w:basedOn w:val="Normal"/>
    <w:rsid w:val="000375EB"/>
    <w:rPr>
      <w:sz w:val="2"/>
      <w:szCs w:val="2"/>
    </w:rPr>
  </w:style>
  <w:style w:type="character" w:customStyle="1" w:styleId="Small">
    <w:name w:val="Small"/>
    <w:basedOn w:val="DefaultParagraphFont"/>
    <w:rsid w:val="000375EB"/>
    <w:rPr>
      <w:sz w:val="16"/>
    </w:rPr>
  </w:style>
  <w:style w:type="paragraph" w:customStyle="1" w:styleId="WideTable">
    <w:name w:val="Wide Table"/>
    <w:basedOn w:val="Normal"/>
    <w:rsid w:val="000375EB"/>
    <w:pPr>
      <w:ind w:left="-1418"/>
    </w:pPr>
    <w:rPr>
      <w:sz w:val="2"/>
      <w:szCs w:val="2"/>
    </w:rPr>
  </w:style>
  <w:style w:type="character" w:styleId="PageNumber">
    <w:name w:val="page number"/>
    <w:basedOn w:val="DefaultParagraphFont"/>
    <w:rsid w:val="000375EB"/>
  </w:style>
  <w:style w:type="paragraph" w:styleId="Quote">
    <w:name w:val="Quote"/>
    <w:basedOn w:val="Heading1"/>
    <w:link w:val="QuoteChar"/>
    <w:qFormat/>
    <w:rsid w:val="000375EB"/>
    <w:rPr>
      <w:b w:val="0"/>
      <w:sz w:val="72"/>
      <w:szCs w:val="72"/>
      <w:lang w:val="en-NZ"/>
    </w:rPr>
  </w:style>
  <w:style w:type="character" w:customStyle="1" w:styleId="QuoteChar">
    <w:name w:val="Quote Char"/>
    <w:basedOn w:val="DefaultParagraphFont"/>
    <w:link w:val="Quote"/>
    <w:rsid w:val="00037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5EB"/>
    <w:pPr>
      <w:pageBreakBefore/>
    </w:pPr>
  </w:style>
  <w:style w:type="paragraph" w:customStyle="1" w:styleId="Border">
    <w:name w:val="Border"/>
    <w:basedOn w:val="Normal"/>
    <w:qFormat/>
    <w:rsid w:val="00037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5EB"/>
    <w:rPr>
      <w:b/>
      <w:bCs/>
      <w:i/>
      <w:iCs/>
      <w:color w:val="auto"/>
    </w:rPr>
  </w:style>
  <w:style w:type="paragraph" w:styleId="IntenseQuote">
    <w:name w:val="Intense Quote"/>
    <w:basedOn w:val="Normal"/>
    <w:next w:val="Normal"/>
    <w:link w:val="IntenseQuoteChar"/>
    <w:uiPriority w:val="30"/>
    <w:qFormat/>
    <w:rsid w:val="00037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5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5EB"/>
    <w:rPr>
      <w:smallCaps/>
      <w:color w:val="auto"/>
      <w:u w:val="single"/>
    </w:rPr>
  </w:style>
  <w:style w:type="character" w:styleId="IntenseReference">
    <w:name w:val="Intense Reference"/>
    <w:basedOn w:val="DefaultParagraphFont"/>
    <w:uiPriority w:val="32"/>
    <w:qFormat/>
    <w:rsid w:val="000375EB"/>
    <w:rPr>
      <w:b/>
      <w:bCs/>
      <w:smallCaps/>
      <w:color w:val="auto"/>
      <w:spacing w:val="5"/>
      <w:u w:val="single"/>
    </w:rPr>
  </w:style>
  <w:style w:type="paragraph" w:customStyle="1" w:styleId="2ColumnHeading">
    <w:name w:val="2Column Heading"/>
    <w:basedOn w:val="BodyText"/>
    <w:qFormat/>
    <w:rsid w:val="000375EB"/>
    <w:pPr>
      <w:spacing w:after="60"/>
      <w:ind w:left="-2268"/>
    </w:pPr>
    <w:rPr>
      <w:b/>
    </w:rPr>
  </w:style>
  <w:style w:type="paragraph" w:customStyle="1" w:styleId="Heading1TOC">
    <w:name w:val="Heading1 TOC"/>
    <w:basedOn w:val="Normal"/>
    <w:qFormat/>
    <w:rsid w:val="000375EB"/>
    <w:pPr>
      <w:spacing w:before="240" w:after="120"/>
    </w:pPr>
    <w:rPr>
      <w:rFonts w:ascii="Times New Roman" w:hAnsi="Times New Roman"/>
      <w:b/>
      <w:sz w:val="32"/>
    </w:rPr>
  </w:style>
  <w:style w:type="paragraph" w:customStyle="1" w:styleId="Heading2TOC">
    <w:name w:val="Heading2 TOC"/>
    <w:basedOn w:val="Normal"/>
    <w:qFormat/>
    <w:rsid w:val="000375EB"/>
    <w:pPr>
      <w:spacing w:before="240" w:after="60"/>
    </w:pPr>
    <w:rPr>
      <w:rFonts w:ascii="Times New Roman" w:hAnsi="Times New Roman"/>
      <w:b/>
      <w:sz w:val="28"/>
    </w:rPr>
  </w:style>
  <w:style w:type="character" w:customStyle="1" w:styleId="Underline">
    <w:name w:val="Underline"/>
    <w:basedOn w:val="DefaultParagraphFont"/>
    <w:qFormat/>
    <w:rsid w:val="000375EB"/>
    <w:rPr>
      <w:u w:val="single"/>
    </w:rPr>
  </w:style>
  <w:style w:type="character" w:customStyle="1" w:styleId="BoldandItalics">
    <w:name w:val="Bold and Italics"/>
    <w:qFormat/>
    <w:rsid w:val="000375EB"/>
    <w:rPr>
      <w:b/>
      <w:i/>
      <w:u w:val="none"/>
    </w:rPr>
  </w:style>
  <w:style w:type="paragraph" w:styleId="BalloonText">
    <w:name w:val="Balloon Text"/>
    <w:basedOn w:val="Normal"/>
    <w:link w:val="BalloonTextChar"/>
    <w:rsid w:val="000375EB"/>
    <w:rPr>
      <w:rFonts w:ascii="Tahoma" w:hAnsi="Tahoma" w:cs="Tahoma"/>
      <w:sz w:val="16"/>
      <w:szCs w:val="16"/>
    </w:rPr>
  </w:style>
  <w:style w:type="character" w:customStyle="1" w:styleId="BalloonTextChar">
    <w:name w:val="Balloon Text Char"/>
    <w:basedOn w:val="DefaultParagraphFont"/>
    <w:link w:val="BalloonText"/>
    <w:rsid w:val="000375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5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5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5EB"/>
    <w:rPr>
      <w:b/>
      <w:color w:val="660033"/>
      <w:spacing w:val="0"/>
    </w:rPr>
  </w:style>
  <w:style w:type="paragraph" w:customStyle="1" w:styleId="Nameditemlist">
    <w:name w:val="Named item list"/>
    <w:basedOn w:val="BodyText"/>
    <w:qFormat/>
    <w:rsid w:val="000375EB"/>
    <w:pPr>
      <w:tabs>
        <w:tab w:val="left" w:pos="2835"/>
      </w:tabs>
      <w:ind w:left="2835" w:hanging="2835"/>
    </w:pPr>
  </w:style>
  <w:style w:type="paragraph" w:customStyle="1" w:styleId="BodyTextnopadding">
    <w:name w:val="Body Text no padding"/>
    <w:basedOn w:val="BodyText"/>
    <w:qFormat/>
    <w:rsid w:val="000375EB"/>
    <w:pPr>
      <w:spacing w:before="0" w:after="0"/>
    </w:pPr>
  </w:style>
  <w:style w:type="paragraph" w:customStyle="1" w:styleId="BodyTextBold">
    <w:name w:val="Body Text Bold"/>
    <w:basedOn w:val="BodyText"/>
    <w:qFormat/>
    <w:rsid w:val="000375EB"/>
    <w:rPr>
      <w:b/>
    </w:rPr>
  </w:style>
  <w:style w:type="character" w:styleId="Hyperlink">
    <w:name w:val="Hyperlink"/>
    <w:basedOn w:val="DefaultParagraphFont"/>
    <w:uiPriority w:val="99"/>
    <w:unhideWhenUsed/>
    <w:rsid w:val="00613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6023</Characters>
  <Application>Microsoft Office Word</Application>
  <DocSecurity>0</DocSecurity>
  <Lines>240</Lines>
  <Paragraphs>138</Paragraphs>
  <ScaleCrop>false</ScaleCrop>
  <Company>Author-it Software Corporation Ltd.</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MSL973001 Perform basic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2021-03-22T08:11:00Z</dcterms:created>
  <dcterms:modified xsi:type="dcterms:W3CDTF">2021-03-22T08:11:00Z</dcterms:modified>
</cp:coreProperties>
</file>