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02D" w:rsidP="006D50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MSL973001 Perform basic tests</w:t>
      </w:r>
      <w:r>
        <w:fldChar w:fldCharType="end"/>
      </w:r>
    </w:p>
    <w:p w:rsidR="006D502D" w:rsidP="006D502D">
      <w:pPr>
        <w:pStyle w:val="Version"/>
        <w:sectPr w:rsidSect="005804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04C0" w:rsidP="005804C0">
      <w:pPr>
        <w:pStyle w:val="SuperHeading"/>
      </w:pPr>
      <w:r w:rsidRPr="005804C0">
        <w:t>Assessment Requirements for MSL973001 Perform basic tests</w:t>
      </w:r>
    </w:p>
    <w:p w:rsidR="00000000" w:rsidRPr="005804C0" w:rsidP="005804C0">
      <w:pPr>
        <w:pStyle w:val="Heading1"/>
      </w:pPr>
      <w:bookmarkStart w:id="1" w:name="O_890411"/>
      <w:bookmarkEnd w:id="1"/>
      <w:r w:rsidRPr="005804C0">
        <w:t>Modification History</w:t>
      </w:r>
    </w:p>
    <w:p w:rsidR="00000000" w:rsidRPr="005804C0" w:rsidP="006D502D">
      <w:pPr>
        <w:pStyle w:val="BodyText"/>
      </w:pPr>
      <w:r w:rsidRPr="005804C0">
        <w:t>Release 1. Supersedes and is equivalent to MSL973001A Perform basic tests</w:t>
      </w:r>
    </w:p>
    <w:p w:rsidR="00000000" w:rsidRPr="005804C0" w:rsidP="005804C0">
      <w:pPr>
        <w:pStyle w:val="Heading1"/>
      </w:pPr>
      <w:bookmarkStart w:id="2" w:name="O_890414"/>
      <w:bookmarkEnd w:id="2"/>
      <w:r w:rsidRPr="005804C0">
        <w:t>Performance Evidence</w:t>
      </w:r>
    </w:p>
    <w:p w:rsidR="00000000" w:rsidRPr="005804C0" w:rsidP="006D502D">
      <w:pPr>
        <w:pStyle w:val="BodyText"/>
      </w:pPr>
      <w:r w:rsidRPr="005804C0">
        <w:t>Evidence of competence in this unit must satisfy all of the requirements of the elements and performance cr</w:t>
      </w:r>
      <w:r w:rsidRPr="005804C0">
        <w:t>iteria, and include demonstration of:</w:t>
      </w:r>
    </w:p>
    <w:p w:rsidR="00000000" w:rsidRPr="005804C0" w:rsidP="005804C0">
      <w:pPr>
        <w:pStyle w:val="ListBullet"/>
      </w:pPr>
      <w:r w:rsidRPr="005804C0">
        <w:t>accurately interpreting workplace procedures and standard methods</w:t>
      </w:r>
    </w:p>
    <w:p w:rsidR="00000000" w:rsidRPr="005804C0" w:rsidP="005804C0">
      <w:pPr>
        <w:pStyle w:val="ListBullet"/>
      </w:pPr>
      <w:r w:rsidRPr="005804C0">
        <w:t>preparing samples using at least three (3) different processes</w:t>
      </w:r>
    </w:p>
    <w:p w:rsidR="00000000" w:rsidRPr="005804C0" w:rsidP="005804C0">
      <w:pPr>
        <w:pStyle w:val="ListBullet"/>
      </w:pPr>
      <w:r w:rsidRPr="005804C0">
        <w:t>performing at least five (5) basic tests or measurements using standard methods and proc</w:t>
      </w:r>
      <w:r w:rsidRPr="005804C0">
        <w:t>edures</w:t>
      </w:r>
    </w:p>
    <w:p w:rsidR="00000000" w:rsidRPr="005804C0" w:rsidP="005804C0">
      <w:pPr>
        <w:pStyle w:val="ListBullet"/>
      </w:pPr>
      <w:r w:rsidRPr="005804C0">
        <w:t>checking test equipment before use</w:t>
      </w:r>
    </w:p>
    <w:p w:rsidR="00000000" w:rsidRPr="005804C0" w:rsidP="005804C0">
      <w:pPr>
        <w:pStyle w:val="ListBullet"/>
      </w:pPr>
      <w:r w:rsidRPr="005804C0">
        <w:t>completing all tests within the required timeline without sacrificing safety, accuracy or quality</w:t>
      </w:r>
    </w:p>
    <w:p w:rsidR="00000000" w:rsidRPr="005804C0" w:rsidP="005804C0">
      <w:pPr>
        <w:pStyle w:val="ListBullet"/>
      </w:pPr>
      <w:r w:rsidRPr="005804C0">
        <w:t>demonstrating close attention to the accuracy and precision of measurements and the data obtained</w:t>
      </w:r>
    </w:p>
    <w:p w:rsidR="00000000" w:rsidRPr="005804C0" w:rsidP="005804C0">
      <w:pPr>
        <w:pStyle w:val="ListBullet"/>
      </w:pPr>
      <w:r w:rsidRPr="005804C0">
        <w:t>calculating simple</w:t>
      </w:r>
      <w:r w:rsidRPr="005804C0">
        <w:t xml:space="preserve"> quantities using appropriate equations, units, uncertainties and precision</w:t>
      </w:r>
    </w:p>
    <w:p w:rsidR="00000000" w:rsidRPr="005804C0" w:rsidP="005804C0">
      <w:pPr>
        <w:pStyle w:val="ListBullet"/>
      </w:pPr>
      <w:r w:rsidRPr="005804C0">
        <w:t>recording and presenting results accurately and legibly</w:t>
      </w:r>
    </w:p>
    <w:p w:rsidR="00000000" w:rsidRPr="005804C0" w:rsidP="005804C0">
      <w:pPr>
        <w:pStyle w:val="ListBullet"/>
      </w:pPr>
      <w:r w:rsidRPr="005804C0">
        <w:t>maintaining the security, integrity and traceability of all samples, data/results and documentation</w:t>
      </w:r>
    </w:p>
    <w:p w:rsidR="00000000" w:rsidRPr="005804C0" w:rsidP="005804C0">
      <w:pPr>
        <w:pStyle w:val="ListBullet"/>
      </w:pPr>
      <w:r w:rsidRPr="005804C0">
        <w:t>following procedures for</w:t>
      </w:r>
      <w:r w:rsidRPr="005804C0">
        <w:t xml:space="preserve"> working safely and minimising environmental impacts.</w:t>
      </w:r>
    </w:p>
    <w:p w:rsidR="00000000" w:rsidRPr="005804C0" w:rsidP="005804C0">
      <w:pPr>
        <w:pStyle w:val="AllowPageBreak"/>
      </w:pPr>
    </w:p>
    <w:p w:rsidR="00000000" w:rsidRPr="005804C0" w:rsidP="005804C0">
      <w:pPr>
        <w:pStyle w:val="Heading1"/>
      </w:pPr>
      <w:bookmarkStart w:id="3" w:name="O_890413"/>
      <w:bookmarkEnd w:id="3"/>
      <w:r w:rsidRPr="005804C0">
        <w:t>Knowledge Evidence</w:t>
      </w:r>
    </w:p>
    <w:p w:rsidR="00000000" w:rsidRPr="005804C0" w:rsidP="006D502D">
      <w:pPr>
        <w:pStyle w:val="BodyText"/>
      </w:pPr>
      <w:r w:rsidRPr="005804C0">
        <w:t>Must provide evidence that demonstrates knowledge of:</w:t>
      </w:r>
    </w:p>
    <w:p w:rsidR="00000000" w:rsidRPr="005804C0" w:rsidP="005804C0">
      <w:pPr>
        <w:pStyle w:val="ListBullet"/>
      </w:pPr>
      <w:r w:rsidRPr="005804C0">
        <w:t>concepts of metrology, including:</w:t>
      </w:r>
    </w:p>
    <w:p w:rsidR="00000000" w:rsidRPr="005804C0" w:rsidP="005804C0">
      <w:pPr>
        <w:pStyle w:val="ListBullet2"/>
      </w:pPr>
      <w:r w:rsidRPr="005804C0">
        <w:t>all measurements are estimates</w:t>
      </w:r>
    </w:p>
    <w:p w:rsidR="00000000" w:rsidRPr="005804C0" w:rsidP="005804C0">
      <w:pPr>
        <w:pStyle w:val="ListBullet2"/>
      </w:pPr>
      <w:r w:rsidRPr="005804C0">
        <w:t>measurements belong to a population of measurements of the measured parameters</w:t>
      </w:r>
    </w:p>
    <w:p w:rsidR="00000000" w:rsidRPr="005804C0" w:rsidP="005804C0">
      <w:pPr>
        <w:pStyle w:val="ListBullet2"/>
      </w:pPr>
      <w:r w:rsidRPr="005804C0">
        <w:t>precision, accuracy and significant figures</w:t>
      </w:r>
    </w:p>
    <w:p w:rsidR="00000000" w:rsidRPr="005804C0" w:rsidP="005804C0">
      <w:pPr>
        <w:pStyle w:val="ListBullet2"/>
      </w:pPr>
      <w:r w:rsidRPr="005804C0">
        <w:t>sources of error, uncertainty and repeatability</w:t>
      </w:r>
    </w:p>
    <w:p w:rsidR="00000000" w:rsidRPr="005804C0" w:rsidP="005804C0">
      <w:pPr>
        <w:pStyle w:val="ListBullet2"/>
      </w:pPr>
      <w:r w:rsidRPr="005804C0">
        <w:t>traceability</w:t>
      </w:r>
    </w:p>
    <w:p w:rsidR="00000000" w:rsidRPr="005804C0" w:rsidP="005804C0">
      <w:pPr>
        <w:pStyle w:val="ListBullet"/>
      </w:pPr>
      <w:r w:rsidRPr="005804C0">
        <w:t>international system of units (SI)</w:t>
      </w:r>
    </w:p>
    <w:p w:rsidR="00000000" w:rsidRPr="005804C0" w:rsidP="005804C0">
      <w:pPr>
        <w:pStyle w:val="ListBullet"/>
      </w:pPr>
      <w:r w:rsidRPr="005804C0">
        <w:t>purpose of tests performed as part o</w:t>
      </w:r>
      <w:r w:rsidRPr="005804C0">
        <w:t>f job role and principles of the standard methods/specifications used</w:t>
      </w:r>
    </w:p>
    <w:p w:rsidR="00000000" w:rsidRPr="005804C0" w:rsidP="005804C0">
      <w:pPr>
        <w:pStyle w:val="ListBullet"/>
      </w:pPr>
      <w:r w:rsidRPr="005804C0">
        <w:t>function of key components of the test equipment, pre-use equipment and safety checks</w:t>
      </w:r>
    </w:p>
    <w:p w:rsidR="00000000" w:rsidRPr="005804C0" w:rsidP="005804C0">
      <w:pPr>
        <w:pStyle w:val="ListBullet"/>
      </w:pPr>
      <w:r w:rsidRPr="005804C0">
        <w:t>sources of uncertainty in measurement and methods for control</w:t>
      </w:r>
    </w:p>
    <w:p w:rsidR="00000000" w:rsidRPr="005804C0" w:rsidP="005804C0">
      <w:pPr>
        <w:pStyle w:val="ListBullet"/>
      </w:pPr>
      <w:r w:rsidRPr="005804C0">
        <w:t>workplace and/or legal traceability re</w:t>
      </w:r>
      <w:r w:rsidRPr="005804C0">
        <w:t>quirements</w:t>
      </w:r>
    </w:p>
    <w:p w:rsidR="00000000" w:rsidRPr="005804C0" w:rsidP="005804C0">
      <w:pPr>
        <w:pStyle w:val="ListBullet"/>
      </w:pPr>
      <w:r w:rsidRPr="005804C0">
        <w:t>interpretation and recording of test result, including simple calculations</w:t>
      </w:r>
    </w:p>
    <w:p w:rsidR="00000000" w:rsidRPr="005804C0" w:rsidP="005804C0">
      <w:pPr>
        <w:pStyle w:val="ListBullet"/>
      </w:pPr>
      <w:r w:rsidRPr="005804C0">
        <w:t>procedures for recognising and reporting of unexpected or unusual results</w:t>
      </w:r>
    </w:p>
    <w:p w:rsidR="00000000" w:rsidRPr="005804C0" w:rsidP="005804C0">
      <w:pPr>
        <w:pStyle w:val="ListBullet"/>
      </w:pPr>
      <w:r w:rsidRPr="005804C0">
        <w:t>relevant hazards, work health safety (WHS) and environment requirements.</w:t>
      </w:r>
    </w:p>
    <w:p w:rsidR="00000000" w:rsidRPr="005804C0" w:rsidP="005804C0">
      <w:pPr>
        <w:pStyle w:val="AllowPageBreak"/>
      </w:pPr>
    </w:p>
    <w:p w:rsidR="00000000" w:rsidRPr="005804C0" w:rsidP="005804C0">
      <w:pPr>
        <w:pStyle w:val="Heading1"/>
      </w:pPr>
      <w:bookmarkStart w:id="4" w:name="O_890412"/>
      <w:bookmarkEnd w:id="4"/>
      <w:r w:rsidRPr="005804C0">
        <w:t>Assess</w:t>
      </w:r>
      <w:r w:rsidRPr="005804C0">
        <w:t>ment Conditions</w:t>
      </w:r>
    </w:p>
    <w:p w:rsidR="00000000" w:rsidRPr="005804C0" w:rsidP="005804C0">
      <w:pPr>
        <w:pStyle w:val="ListBullet"/>
      </w:pPr>
      <w:r w:rsidRPr="005804C0">
        <w:t xml:space="preserve">Judgement of competence must be based on holistic assessment of the evidence. Assessment methods must confirm consistency of performance over time, rather than a single assessment event. </w:t>
      </w:r>
    </w:p>
    <w:p w:rsidR="00000000" w:rsidRPr="005804C0" w:rsidP="005804C0">
      <w:pPr>
        <w:pStyle w:val="ListBullet"/>
      </w:pPr>
      <w:r w:rsidRPr="005804C0">
        <w:t>This unit of competency is to be assessed in the workplace or a simulated workplace environment. A simulated workplace environment must reflect realistic operational workplace conditions that cover all aspects of workplace performance, including the enviro</w:t>
      </w:r>
      <w:r w:rsidRPr="005804C0">
        <w:t>nment, task skills, task management skills, contingency management skills and job role environment skills.</w:t>
      </w:r>
    </w:p>
    <w:p w:rsidR="00000000" w:rsidRPr="005804C0" w:rsidP="005804C0">
      <w:pPr>
        <w:pStyle w:val="ListBullet"/>
      </w:pPr>
      <w:r w:rsidRPr="005804C0">
        <w:t xml:space="preserve">Foundation skills are integral to competent performance of the unit and should not be assessed separately. </w:t>
      </w:r>
    </w:p>
    <w:p w:rsidR="00000000" w:rsidRPr="005804C0" w:rsidP="005804C0">
      <w:pPr>
        <w:pStyle w:val="ListBullet"/>
      </w:pPr>
      <w:r w:rsidRPr="005804C0">
        <w:t xml:space="preserve">Assessment processes and techniques must </w:t>
      </w:r>
      <w:r w:rsidRPr="005804C0">
        <w:t>be appropriate to the language, literacy and numeracy requirements of the work being performed and the needs of the candidate.</w:t>
      </w:r>
    </w:p>
    <w:p w:rsidR="00000000" w:rsidRPr="005804C0" w:rsidP="005804C0">
      <w:pPr>
        <w:pStyle w:val="ListBullet"/>
      </w:pPr>
      <w:r w:rsidRPr="005804C0">
        <w:t xml:space="preserve">Knowledge evidence may be collected concurrently with performance evidence or through an independent process, such as workbooks, </w:t>
      </w:r>
      <w:r w:rsidRPr="005804C0">
        <w:t>written assessments or interviews (provided a record is kept in each case).</w:t>
      </w:r>
    </w:p>
    <w:p w:rsidR="00000000" w:rsidRPr="005804C0" w:rsidP="005804C0">
      <w:pPr>
        <w:pStyle w:val="ListBullet"/>
      </w:pPr>
      <w:r w:rsidRPr="005804C0">
        <w:t xml:space="preserve">This unit of competency may be assessed with: </w:t>
      </w:r>
    </w:p>
    <w:p w:rsidR="00000000" w:rsidRPr="005804C0" w:rsidP="005804C0">
      <w:pPr>
        <w:pStyle w:val="ListBullet2"/>
      </w:pPr>
      <w:r w:rsidRPr="005804C0">
        <w:t>MSL922001 Record and present data</w:t>
      </w:r>
    </w:p>
    <w:p w:rsidR="00000000" w:rsidRPr="005804C0" w:rsidP="005804C0">
      <w:pPr>
        <w:pStyle w:val="ListBullet"/>
      </w:pPr>
      <w:r w:rsidRPr="005804C0">
        <w:t xml:space="preserve">Holistic assessment methods include: </w:t>
      </w:r>
    </w:p>
    <w:p w:rsidR="00000000" w:rsidRPr="005804C0" w:rsidP="005804C0">
      <w:pPr>
        <w:pStyle w:val="ListBullet2"/>
      </w:pPr>
      <w:r w:rsidRPr="005804C0">
        <w:t>review of the quality of test data/results achieved by the</w:t>
      </w:r>
      <w:r w:rsidRPr="005804C0">
        <w:t xml:space="preserve"> candidate over time</w:t>
      </w:r>
    </w:p>
    <w:p w:rsidR="00000000" w:rsidRPr="005804C0" w:rsidP="005804C0">
      <w:pPr>
        <w:pStyle w:val="ListBullet2"/>
      </w:pPr>
      <w:r w:rsidRPr="005804C0">
        <w:t>inspection of records and workplace documentation completed by the candidate</w:t>
      </w:r>
    </w:p>
    <w:p w:rsidR="00000000" w:rsidRPr="005804C0" w:rsidP="005804C0">
      <w:pPr>
        <w:pStyle w:val="ListBullet2"/>
      </w:pPr>
      <w:r w:rsidRPr="005804C0">
        <w:t>observation of the candidate performing a range of basic tests</w:t>
      </w:r>
    </w:p>
    <w:p w:rsidR="00000000" w:rsidRPr="005804C0" w:rsidP="005804C0">
      <w:pPr>
        <w:pStyle w:val="ListBullet2"/>
      </w:pPr>
      <w:r w:rsidRPr="005804C0">
        <w:t>feedback from peers and supervisors</w:t>
      </w:r>
    </w:p>
    <w:p w:rsidR="00000000" w:rsidRPr="005804C0" w:rsidP="005804C0">
      <w:pPr>
        <w:pStyle w:val="ListBullet2"/>
      </w:pPr>
      <w:r w:rsidRPr="005804C0">
        <w:t xml:space="preserve">oral or written questioning to check required knowledge of </w:t>
      </w:r>
      <w:r w:rsidRPr="005804C0">
        <w:t>basic test procedures.</w:t>
      </w:r>
    </w:p>
    <w:p w:rsidR="00000000" w:rsidRPr="005804C0" w:rsidP="005804C0">
      <w:pPr>
        <w:pStyle w:val="ListBullet"/>
      </w:pPr>
      <w:r w:rsidRPr="005804C0">
        <w:t>Access is required to instruments, equipment, materials, workplace documentation, procedures and specifications associated with this unit, including, but not limited to:</w:t>
      </w:r>
    </w:p>
    <w:p w:rsidR="00000000" w:rsidRPr="005804C0" w:rsidP="005804C0">
      <w:pPr>
        <w:pStyle w:val="ListBullet"/>
      </w:pPr>
      <w:r w:rsidRPr="005804C0">
        <w:t>a standard laboratory equipped with basic test equipment, common measuring instruments, materials, standard methods, workplace procedures, MSDS and equipment manuals.</w:t>
      </w:r>
    </w:p>
    <w:p w:rsidR="00000000" w:rsidRPr="005804C0" w:rsidP="005804C0">
      <w:pPr>
        <w:pStyle w:val="ListBullet"/>
      </w:pPr>
      <w:r w:rsidRPr="005804C0">
        <w:t>Assessors must satisfy the assessor competency requirements that are in place at the time</w:t>
      </w:r>
      <w:r w:rsidRPr="005804C0">
        <w:t xml:space="preserve"> of the assessment as set by the VET regulator.  </w:t>
      </w:r>
    </w:p>
    <w:p w:rsidR="00000000" w:rsidRPr="005804C0" w:rsidP="005804C0">
      <w:pPr>
        <w:pStyle w:val="ListBullet"/>
      </w:pPr>
      <w:r w:rsidRPr="005804C0">
        <w:t>The assessor must demonstrate both technical competence and currency.</w:t>
      </w:r>
    </w:p>
    <w:p w:rsidR="00000000" w:rsidRPr="005804C0" w:rsidP="005804C0">
      <w:pPr>
        <w:pStyle w:val="ListBullet"/>
      </w:pPr>
      <w:r w:rsidRPr="005804C0">
        <w:t>Technical competence can be demonstrated through:</w:t>
      </w:r>
    </w:p>
    <w:p w:rsidR="00000000" w:rsidRPr="005804C0" w:rsidP="005804C0">
      <w:pPr>
        <w:pStyle w:val="ListBullet2"/>
      </w:pPr>
      <w:r w:rsidRPr="005804C0">
        <w:t>relevant VET or other qualification/Statement of Attainment AND/OR</w:t>
      </w:r>
    </w:p>
    <w:p w:rsidR="00000000" w:rsidRPr="005804C0" w:rsidP="005804C0">
      <w:pPr>
        <w:pStyle w:val="ListBullet2"/>
      </w:pPr>
      <w:r w:rsidRPr="005804C0">
        <w:t>relevant workplace</w:t>
      </w:r>
      <w:r w:rsidRPr="005804C0">
        <w:t xml:space="preserve"> experience.</w:t>
      </w:r>
    </w:p>
    <w:p w:rsidR="00000000" w:rsidRPr="005804C0" w:rsidP="005804C0">
      <w:pPr>
        <w:pStyle w:val="ListBullet"/>
      </w:pPr>
      <w:r w:rsidRPr="005804C0">
        <w:t>Currency can be demonstrated through:</w:t>
      </w:r>
    </w:p>
    <w:p w:rsidR="00000000" w:rsidRPr="005804C0" w:rsidP="005804C0">
      <w:pPr>
        <w:pStyle w:val="ListBullet2"/>
      </w:pPr>
      <w:r w:rsidRPr="005804C0">
        <w:t>performing the competency being assessed as part of current employment OR</w:t>
      </w:r>
    </w:p>
    <w:p w:rsidR="00000000" w:rsidRPr="005804C0" w:rsidP="005804C0">
      <w:pPr>
        <w:pStyle w:val="ListBullet2"/>
      </w:pPr>
      <w:r w:rsidRPr="005804C0">
        <w:t>having consulted with a laboratory about performing the competency being assessed within the last twelve months.</w:t>
      </w:r>
    </w:p>
    <w:p w:rsidR="00000000" w:rsidRPr="005804C0" w:rsidP="005804C0">
      <w:pPr>
        <w:pStyle w:val="AllowPageBreak"/>
      </w:pPr>
    </w:p>
    <w:p w:rsidR="00000000" w:rsidRPr="005804C0" w:rsidP="005804C0">
      <w:pPr>
        <w:pStyle w:val="Heading1"/>
      </w:pPr>
      <w:bookmarkStart w:id="5" w:name="O_890410"/>
      <w:bookmarkEnd w:id="5"/>
      <w:r w:rsidRPr="005804C0">
        <w:t>Links</w:t>
      </w:r>
    </w:p>
    <w:p w:rsidR="00000000" w:rsidRPr="005804C0" w:rsidP="006D502D">
      <w:pPr>
        <w:pStyle w:val="BodyText"/>
      </w:pPr>
      <w:r w:rsidRPr="005804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B001EF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5804C0" w:rsidP="005804C0"/>
    <w:sectPr w:rsidSect="005804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C0" w:rsidRPr="006D502D" w:rsidP="006D50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2D" w:rsidP="005804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02D" w:rsidP="005804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D502D" w:rsidP="005804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04C0" w:rsidRPr="006D502D" w:rsidP="006D50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4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02D" w:rsidRPr="002D2AF8" w:rsidP="005804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MSL973001 Perform basic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6D502D" w:rsidP="005804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3607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9205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C41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4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04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04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04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04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04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04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04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04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04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04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04C0"/>
  </w:style>
  <w:style w:type="character" w:customStyle="1" w:styleId="Heading1Char">
    <w:name w:val="Heading 1 Char"/>
    <w:basedOn w:val="DefaultParagraphFont"/>
    <w:link w:val="Heading1"/>
    <w:rsid w:val="005804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04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04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04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804C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04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04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04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04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04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0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04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0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04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04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04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04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04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04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04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04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04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04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04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04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04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04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04C0"/>
    <w:rPr>
      <w:b/>
      <w:spacing w:val="0"/>
    </w:rPr>
  </w:style>
  <w:style w:type="paragraph" w:customStyle="1" w:styleId="SuperTitle">
    <w:name w:val="SuperTitle"/>
    <w:basedOn w:val="Title"/>
    <w:rsid w:val="005804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04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04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04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04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04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04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04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04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04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04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04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04C0"/>
    <w:rPr>
      <w:i/>
    </w:rPr>
  </w:style>
  <w:style w:type="paragraph" w:styleId="Caption">
    <w:name w:val="caption"/>
    <w:basedOn w:val="BodyText"/>
    <w:next w:val="Normal"/>
    <w:qFormat/>
    <w:rsid w:val="005804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04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04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04C0"/>
  </w:style>
  <w:style w:type="paragraph" w:styleId="TableofFigures">
    <w:name w:val="table of figures"/>
    <w:basedOn w:val="Normal"/>
    <w:next w:val="Normal"/>
    <w:semiHidden/>
    <w:rsid w:val="005804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04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04C0"/>
    <w:rPr>
      <w:rFonts w:ascii="Wingdings" w:hAnsi="Wingdings"/>
    </w:rPr>
  </w:style>
  <w:style w:type="paragraph" w:customStyle="1" w:styleId="TableHeading">
    <w:name w:val="Table Heading"/>
    <w:basedOn w:val="HeadingBase"/>
    <w:rsid w:val="005804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04C0"/>
    <w:rPr>
      <w:color w:val="0033CC"/>
      <w:u w:val="none"/>
    </w:rPr>
  </w:style>
  <w:style w:type="paragraph" w:customStyle="1" w:styleId="BodyTextRight">
    <w:name w:val="Body Text Right"/>
    <w:basedOn w:val="BodyText"/>
    <w:rsid w:val="005804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04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04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04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04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04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04C0"/>
    <w:rPr>
      <w:sz w:val="32"/>
    </w:rPr>
  </w:style>
  <w:style w:type="paragraph" w:customStyle="1" w:styleId="HeadingProcedure">
    <w:name w:val="Heading Procedure"/>
    <w:basedOn w:val="HeadingBase"/>
    <w:next w:val="Normal"/>
    <w:rsid w:val="005804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04C0"/>
    <w:pPr>
      <w:spacing w:before="60" w:after="60"/>
    </w:pPr>
  </w:style>
  <w:style w:type="paragraph" w:styleId="ListContinue">
    <w:name w:val="List Continue"/>
    <w:basedOn w:val="List"/>
    <w:rsid w:val="005804C0"/>
    <w:pPr>
      <w:ind w:firstLine="0"/>
    </w:pPr>
  </w:style>
  <w:style w:type="paragraph" w:customStyle="1" w:styleId="ListNote">
    <w:name w:val="List Note"/>
    <w:basedOn w:val="List"/>
    <w:rsid w:val="005804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04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04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04C0"/>
    <w:rPr>
      <w:rFonts w:ascii="Courier New" w:hAnsi="Courier New"/>
    </w:rPr>
  </w:style>
  <w:style w:type="paragraph" w:customStyle="1" w:styleId="NoteBullet">
    <w:name w:val="Note Bullet"/>
    <w:basedOn w:val="Note"/>
    <w:rsid w:val="005804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04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04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04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04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04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04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04C0"/>
    <w:rPr>
      <w:b/>
      <w:smallCaps/>
    </w:rPr>
  </w:style>
  <w:style w:type="paragraph" w:customStyle="1" w:styleId="TableListNumber">
    <w:name w:val="Table List Number"/>
    <w:basedOn w:val="ListNumber"/>
    <w:rsid w:val="005804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04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04C0"/>
    <w:pPr>
      <w:numPr>
        <w:numId w:val="9"/>
      </w:numPr>
    </w:pPr>
  </w:style>
  <w:style w:type="paragraph" w:customStyle="1" w:styleId="ListAlpha2">
    <w:name w:val="List Alpha 2"/>
    <w:basedOn w:val="List2"/>
    <w:rsid w:val="005804C0"/>
    <w:pPr>
      <w:numPr>
        <w:numId w:val="8"/>
      </w:numPr>
    </w:pPr>
  </w:style>
  <w:style w:type="paragraph" w:styleId="List2">
    <w:name w:val="List 2"/>
    <w:basedOn w:val="BodyText"/>
    <w:rsid w:val="005804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04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04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04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04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04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04C0"/>
    <w:pPr>
      <w:numPr>
        <w:numId w:val="4"/>
      </w:numPr>
    </w:pPr>
  </w:style>
  <w:style w:type="paragraph" w:styleId="ListContinue2">
    <w:name w:val="List Continue 2"/>
    <w:basedOn w:val="List2"/>
    <w:rsid w:val="005804C0"/>
    <w:pPr>
      <w:ind w:firstLine="0"/>
    </w:pPr>
  </w:style>
  <w:style w:type="paragraph" w:styleId="ListContinue3">
    <w:name w:val="List Continue 3"/>
    <w:basedOn w:val="List3"/>
    <w:rsid w:val="005804C0"/>
    <w:pPr>
      <w:ind w:left="1021" w:firstLine="0"/>
    </w:pPr>
  </w:style>
  <w:style w:type="paragraph" w:styleId="ListContinue4">
    <w:name w:val="List Continue 4"/>
    <w:basedOn w:val="List4"/>
    <w:rsid w:val="005804C0"/>
    <w:pPr>
      <w:ind w:firstLine="0"/>
    </w:pPr>
  </w:style>
  <w:style w:type="paragraph" w:styleId="ListContinue5">
    <w:name w:val="List Continue 5"/>
    <w:basedOn w:val="List5"/>
    <w:rsid w:val="005804C0"/>
    <w:pPr>
      <w:ind w:firstLine="0"/>
    </w:pPr>
  </w:style>
  <w:style w:type="paragraph" w:styleId="ListNumber3">
    <w:name w:val="List Number 3"/>
    <w:basedOn w:val="List3"/>
    <w:rsid w:val="005804C0"/>
    <w:pPr>
      <w:numPr>
        <w:numId w:val="5"/>
      </w:numPr>
    </w:pPr>
  </w:style>
  <w:style w:type="paragraph" w:styleId="ListNumber4">
    <w:name w:val="List Number 4"/>
    <w:basedOn w:val="List4"/>
    <w:rsid w:val="005804C0"/>
    <w:pPr>
      <w:numPr>
        <w:numId w:val="6"/>
      </w:numPr>
    </w:pPr>
  </w:style>
  <w:style w:type="paragraph" w:styleId="ListNumber5">
    <w:name w:val="List Number 5"/>
    <w:basedOn w:val="List5"/>
    <w:rsid w:val="005804C0"/>
    <w:pPr>
      <w:numPr>
        <w:numId w:val="7"/>
      </w:numPr>
    </w:pPr>
  </w:style>
  <w:style w:type="paragraph" w:styleId="BlockText">
    <w:name w:val="Block Text"/>
    <w:basedOn w:val="Normal"/>
    <w:rsid w:val="005804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04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04C0"/>
    <w:rPr>
      <w:sz w:val="16"/>
      <w:vertAlign w:val="superscript"/>
    </w:rPr>
  </w:style>
  <w:style w:type="character" w:customStyle="1" w:styleId="Symbols">
    <w:name w:val="Symbols"/>
    <w:basedOn w:val="DefaultParagraphFont"/>
    <w:rsid w:val="005804C0"/>
    <w:rPr>
      <w:rFonts w:ascii="Symbol" w:hAnsi="Symbol"/>
    </w:rPr>
  </w:style>
  <w:style w:type="character" w:customStyle="1" w:styleId="MenuOptions">
    <w:name w:val="Menu Options"/>
    <w:basedOn w:val="DefaultParagraphFont"/>
    <w:rsid w:val="005804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04C0"/>
    <w:rPr>
      <w:b/>
    </w:rPr>
  </w:style>
  <w:style w:type="character" w:customStyle="1" w:styleId="Underlined">
    <w:name w:val="Underlined"/>
    <w:basedOn w:val="DefaultParagraphFont"/>
    <w:rsid w:val="005804C0"/>
    <w:rPr>
      <w:u w:val="single"/>
    </w:rPr>
  </w:style>
  <w:style w:type="paragraph" w:customStyle="1" w:styleId="TableBodyTextRight">
    <w:name w:val="Table Body Text Right"/>
    <w:basedOn w:val="TableBodyText"/>
    <w:rsid w:val="005804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04C0"/>
    <w:rPr>
      <w:sz w:val="18"/>
    </w:rPr>
  </w:style>
  <w:style w:type="paragraph" w:customStyle="1" w:styleId="BodySmallRight">
    <w:name w:val="Body Small Right"/>
    <w:basedOn w:val="BodyTextRight"/>
    <w:rsid w:val="005804C0"/>
    <w:rPr>
      <w:sz w:val="18"/>
      <w:szCs w:val="18"/>
    </w:rPr>
  </w:style>
  <w:style w:type="paragraph" w:customStyle="1" w:styleId="MarginEdition">
    <w:name w:val="Margin Edition"/>
    <w:basedOn w:val="MarginNote"/>
    <w:rsid w:val="005804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04C0"/>
    <w:rPr>
      <w:sz w:val="2"/>
      <w:szCs w:val="2"/>
    </w:rPr>
  </w:style>
  <w:style w:type="character" w:customStyle="1" w:styleId="Small">
    <w:name w:val="Small"/>
    <w:basedOn w:val="DefaultParagraphFont"/>
    <w:rsid w:val="005804C0"/>
    <w:rPr>
      <w:sz w:val="16"/>
    </w:rPr>
  </w:style>
  <w:style w:type="paragraph" w:customStyle="1" w:styleId="WideTable">
    <w:name w:val="Wide Table"/>
    <w:basedOn w:val="Normal"/>
    <w:rsid w:val="005804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04C0"/>
  </w:style>
  <w:style w:type="paragraph" w:styleId="Quote">
    <w:name w:val="Quote"/>
    <w:basedOn w:val="Heading1"/>
    <w:link w:val="QuoteChar"/>
    <w:qFormat/>
    <w:rsid w:val="005804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04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04C0"/>
    <w:pPr>
      <w:pageBreakBefore/>
    </w:pPr>
  </w:style>
  <w:style w:type="paragraph" w:customStyle="1" w:styleId="Border">
    <w:name w:val="Border"/>
    <w:basedOn w:val="Normal"/>
    <w:qFormat/>
    <w:rsid w:val="005804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04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4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4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04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04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04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04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04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04C0"/>
    <w:rPr>
      <w:u w:val="single"/>
    </w:rPr>
  </w:style>
  <w:style w:type="character" w:customStyle="1" w:styleId="BoldandItalics">
    <w:name w:val="Bold and Italics"/>
    <w:qFormat/>
    <w:rsid w:val="005804C0"/>
    <w:rPr>
      <w:b/>
      <w:i/>
      <w:u w:val="none"/>
    </w:rPr>
  </w:style>
  <w:style w:type="paragraph" w:styleId="BalloonText">
    <w:name w:val="Balloon Text"/>
    <w:basedOn w:val="Normal"/>
    <w:link w:val="BalloonTextChar"/>
    <w:rsid w:val="005804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04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04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04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04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04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04C0"/>
    <w:pPr>
      <w:spacing w:before="0" w:after="0"/>
    </w:pPr>
  </w:style>
  <w:style w:type="paragraph" w:customStyle="1" w:styleId="BodyTextBold">
    <w:name w:val="Body Text Bold"/>
    <w:basedOn w:val="BodyText"/>
    <w:qFormat/>
    <w:rsid w:val="005804C0"/>
    <w:rPr>
      <w:b/>
    </w:rPr>
  </w:style>
  <w:style w:type="character" w:styleId="Hyperlink">
    <w:name w:val="Hyperlink"/>
    <w:basedOn w:val="DefaultParagraphFont"/>
    <w:uiPriority w:val="99"/>
    <w:unhideWhenUsed/>
    <w:rsid w:val="006D50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4173</Characters>
  <Application>Microsoft Office Word</Application>
  <DocSecurity>0</DocSecurity>
  <Lines>90</Lines>
  <Paragraphs>69</Paragraphs>
  <ScaleCrop>false</ScaleCrop>
  <Company>Author-it Software Corporation Ltd.</Company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MSL973001 Perform basic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2021-03-22T07:55:00Z</dcterms:created>
  <dcterms:modified xsi:type="dcterms:W3CDTF">2021-03-22T07:55:00Z</dcterms:modified>
</cp:coreProperties>
</file>