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D49FE" w:rsidP="00ED49FE">
      <w:pPr>
        <w:pStyle w:val="Title"/>
      </w:pPr>
      <w:r>
        <w:fldChar w:fldCharType="begin"/>
      </w:r>
      <w:r>
        <w:instrText xml:space="preserve"> TITLE   \* MERGEFORMAT </w:instrText>
      </w:r>
      <w:r>
        <w:fldChar w:fldCharType="separate"/>
      </w:r>
      <w:r>
        <w:t>MSL965003 Construct, modify and maintain high vacuum systems</w:t>
      </w:r>
      <w:r>
        <w:fldChar w:fldCharType="end"/>
      </w:r>
    </w:p>
    <w:p w:rsidR="00ED49FE" w:rsidP="00ED49FE">
      <w:pPr>
        <w:pStyle w:val="Version"/>
        <w:sectPr w:rsidSect="00B22B4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22B4B" w:rsidP="00B22B4B">
      <w:pPr>
        <w:pStyle w:val="SuperHeading"/>
      </w:pPr>
      <w:r w:rsidRPr="00B22B4B">
        <w:t>MSL965003 Construct, modify and maintain high vacuum systems</w:t>
      </w:r>
    </w:p>
    <w:p w:rsidR="00000000" w:rsidRPr="00B22B4B" w:rsidP="00B22B4B">
      <w:pPr>
        <w:pStyle w:val="Heading1"/>
      </w:pPr>
      <w:bookmarkStart w:id="1" w:name="O_903073"/>
      <w:bookmarkEnd w:id="1"/>
      <w:r w:rsidRPr="00B22B4B">
        <w:t>Modification History</w:t>
      </w:r>
    </w:p>
    <w:p w:rsidR="00000000" w:rsidRPr="00B22B4B" w:rsidP="00B22B4B">
      <w:pPr>
        <w:pStyle w:val="BodyText"/>
      </w:pPr>
      <w:r w:rsidRPr="00B22B4B">
        <w:t>Release 1. Supersedes and is equivalent to MSL965003A Construct, modify and maintain high vacuum systems</w:t>
      </w:r>
    </w:p>
    <w:p w:rsidR="00000000" w:rsidRPr="00B22B4B" w:rsidP="00B22B4B">
      <w:pPr>
        <w:pStyle w:val="AllowPageBreak"/>
      </w:pPr>
    </w:p>
    <w:p w:rsidR="00000000" w:rsidRPr="00B22B4B" w:rsidP="00B22B4B">
      <w:pPr>
        <w:pStyle w:val="Heading1"/>
      </w:pPr>
      <w:bookmarkStart w:id="2" w:name="O_903081"/>
      <w:bookmarkEnd w:id="2"/>
      <w:r w:rsidRPr="00B22B4B">
        <w:t>Application</w:t>
      </w:r>
    </w:p>
    <w:p w:rsidR="00000000" w:rsidRPr="00B22B4B" w:rsidP="00B22B4B">
      <w:pPr>
        <w:pStyle w:val="BodyText"/>
      </w:pPr>
      <w:r w:rsidRPr="00B22B4B">
        <w:t>This unit of competency covers the ability to construct, monitor, modify and maintain</w:t>
      </w:r>
      <w:r w:rsidRPr="00B22B4B">
        <w:t xml:space="preserve"> high vacuum systems. Personnel are required to use advanced bench/hand glasswork techniques and equipment to fabricate glass apparatus.</w:t>
      </w:r>
    </w:p>
    <w:p w:rsidR="00000000" w:rsidRPr="00B22B4B" w:rsidP="00B22B4B">
      <w:pPr>
        <w:pStyle w:val="BodyText"/>
      </w:pPr>
    </w:p>
    <w:p w:rsidR="00000000" w:rsidRPr="00B22B4B" w:rsidP="00B22B4B">
      <w:pPr>
        <w:pStyle w:val="BodyText"/>
      </w:pPr>
      <w:r w:rsidRPr="00B22B4B">
        <w:t xml:space="preserve">This unit of competency is applicable to skilled and experienced scientific glassblowers. They will apply specialised </w:t>
      </w:r>
      <w:r w:rsidRPr="00B22B4B">
        <w:t>technical knowledge and precise technical skills and considerable planning and judgement in their work.</w:t>
      </w:r>
    </w:p>
    <w:p w:rsidR="00000000" w:rsidRPr="00B22B4B" w:rsidP="00B22B4B">
      <w:pPr>
        <w:pStyle w:val="BodyText"/>
      </w:pPr>
    </w:p>
    <w:p w:rsidR="00000000" w:rsidRPr="00B22B4B" w:rsidP="00B22B4B">
      <w:pPr>
        <w:pStyle w:val="BodyText"/>
      </w:pPr>
      <w:r w:rsidRPr="00B22B4B">
        <w:t>While no specific licensing or certification requirements apply to this unit at the time of publication, laboratory operations are governed by relevant</w:t>
      </w:r>
      <w:r w:rsidRPr="00B22B4B">
        <w:t xml:space="preserve"> legislation, regulations and/or external accreditation requirements. Local requirements should be checked.</w:t>
      </w:r>
    </w:p>
    <w:p w:rsidR="00000000" w:rsidRPr="00B22B4B" w:rsidP="00B22B4B">
      <w:pPr>
        <w:pStyle w:val="AllowPageBreak"/>
      </w:pPr>
    </w:p>
    <w:p w:rsidR="00000000" w:rsidRPr="00B22B4B" w:rsidP="00B22B4B">
      <w:pPr>
        <w:pStyle w:val="Heading1"/>
      </w:pPr>
      <w:bookmarkStart w:id="3" w:name="O_903080"/>
      <w:bookmarkEnd w:id="3"/>
      <w:r w:rsidRPr="00B22B4B">
        <w:t>Pre-requisite Unit</w:t>
      </w:r>
    </w:p>
    <w:tbl>
      <w:tblPr>
        <w:tblW w:w="0" w:type="auto"/>
        <w:tblCellMar>
          <w:left w:w="62" w:type="dxa"/>
          <w:right w:w="62" w:type="dxa"/>
        </w:tblCellMar>
        <w:tblLook w:val="0000"/>
      </w:tblPr>
      <w:tblGrid>
        <w:gridCol w:w="2191"/>
        <w:gridCol w:w="7005"/>
      </w:tblGrid>
      <w:tr w:rsidTr="00ED49F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22B4B">
            <w:pPr>
              <w:pStyle w:val="BodyText"/>
              <w:rPr>
                <w:lang w:val="en-NZ"/>
              </w:rPr>
            </w:pPr>
            <w:r w:rsidRPr="00B22B4B">
              <w:t>MSL963001</w:t>
            </w:r>
          </w:p>
        </w:tc>
        <w:tc>
          <w:tcPr>
            <w:tcW w:w="0" w:type="auto"/>
            <w:tcBorders>
              <w:top w:val="nil"/>
              <w:left w:val="nil"/>
              <w:bottom w:val="nil"/>
              <w:right w:val="nil"/>
            </w:tcBorders>
            <w:tcMar>
              <w:top w:w="0" w:type="dxa"/>
              <w:left w:w="62" w:type="dxa"/>
              <w:bottom w:w="0" w:type="dxa"/>
              <w:right w:w="62" w:type="dxa"/>
            </w:tcMar>
          </w:tcPr>
          <w:p w:rsidR="00000000" w:rsidP="00B22B4B">
            <w:pPr>
              <w:pStyle w:val="BodyText"/>
              <w:rPr>
                <w:lang w:val="en-NZ"/>
              </w:rPr>
            </w:pPr>
            <w:r w:rsidRPr="00B22B4B">
              <w:t>Operate basic handblowing equipment</w:t>
            </w:r>
          </w:p>
        </w:tc>
      </w:tr>
      <w:tr w:rsidTr="00ED49F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22B4B">
            <w:pPr>
              <w:pStyle w:val="BodyText"/>
              <w:rPr>
                <w:lang w:val="en-NZ"/>
              </w:rPr>
            </w:pPr>
            <w:r w:rsidRPr="00B22B4B">
              <w:t>MSL963002</w:t>
            </w:r>
          </w:p>
        </w:tc>
        <w:tc>
          <w:tcPr>
            <w:tcW w:w="0" w:type="auto"/>
            <w:tcBorders>
              <w:top w:val="nil"/>
              <w:left w:val="nil"/>
              <w:bottom w:val="nil"/>
              <w:right w:val="nil"/>
            </w:tcBorders>
            <w:tcMar>
              <w:top w:w="0" w:type="dxa"/>
              <w:left w:w="62" w:type="dxa"/>
              <w:bottom w:w="0" w:type="dxa"/>
              <w:right w:w="62" w:type="dxa"/>
            </w:tcMar>
          </w:tcPr>
          <w:p w:rsidR="00000000" w:rsidRPr="00B22B4B" w:rsidP="00B22B4B">
            <w:pPr>
              <w:pStyle w:val="BodyText"/>
            </w:pPr>
            <w:r w:rsidRPr="00B22B4B">
              <w:t>Repair glass apparatus using simple glassblowing equipm</w:t>
            </w:r>
            <w:r w:rsidRPr="00B22B4B">
              <w:t>ent</w:t>
            </w:r>
          </w:p>
        </w:tc>
      </w:tr>
    </w:tbl>
    <w:p w:rsidR="00000000" w:rsidRPr="00B22B4B" w:rsidP="00B22B4B">
      <w:pPr>
        <w:pStyle w:val="BodyText"/>
      </w:pPr>
    </w:p>
    <w:p w:rsidR="00000000" w:rsidRPr="00B22B4B" w:rsidP="00B22B4B">
      <w:pPr>
        <w:pStyle w:val="AllowPageBreak"/>
      </w:pPr>
    </w:p>
    <w:p w:rsidR="00000000" w:rsidRPr="00B22B4B" w:rsidP="00B22B4B">
      <w:pPr>
        <w:pStyle w:val="Heading1"/>
      </w:pPr>
      <w:bookmarkStart w:id="4" w:name="O_903079"/>
      <w:bookmarkEnd w:id="4"/>
      <w:r w:rsidRPr="00B22B4B">
        <w:t>Competency Field</w:t>
      </w:r>
    </w:p>
    <w:p w:rsidR="00000000" w:rsidRPr="00B22B4B" w:rsidP="00B22B4B">
      <w:pPr>
        <w:pStyle w:val="BodyText"/>
      </w:pPr>
      <w:r w:rsidRPr="00B22B4B">
        <w:t>Scientific glassblowing</w:t>
      </w:r>
    </w:p>
    <w:p w:rsidR="00000000" w:rsidRPr="00B22B4B" w:rsidP="00B22B4B">
      <w:pPr>
        <w:pStyle w:val="AllowPageBreak"/>
      </w:pPr>
    </w:p>
    <w:p w:rsidR="00000000" w:rsidRPr="00B22B4B" w:rsidP="00B22B4B">
      <w:pPr>
        <w:pStyle w:val="Heading1"/>
      </w:pPr>
      <w:bookmarkStart w:id="5" w:name="O_903078"/>
      <w:bookmarkEnd w:id="5"/>
      <w:r w:rsidRPr="00B22B4B">
        <w:t>Unit Sector</w:t>
      </w:r>
    </w:p>
    <w:p w:rsidR="00000000" w:rsidRPr="00B22B4B" w:rsidP="00B22B4B">
      <w:pPr>
        <w:pStyle w:val="Heading1"/>
      </w:pPr>
      <w:bookmarkStart w:id="6" w:name="O_903077"/>
      <w:bookmarkEnd w:id="6"/>
      <w:r w:rsidRPr="00B22B4B">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B22B4B">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B22B4B">
            <w:pPr>
              <w:pStyle w:val="BodyText"/>
              <w:rPr>
                <w:lang w:val="en-NZ"/>
              </w:rPr>
            </w:pPr>
            <w:r w:rsidRPr="00B22B4B">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B22B4B">
            <w:pPr>
              <w:pStyle w:val="BodyText"/>
              <w:rPr>
                <w:lang w:val="en-NZ"/>
              </w:rPr>
            </w:pPr>
            <w:r w:rsidRPr="00B22B4B">
              <w:t>Performance criteria describe the performance needed to demonstrate achievement of the element.</w:t>
            </w:r>
          </w:p>
        </w:tc>
      </w:tr>
      <w:tr w:rsidTr="00B22B4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22B4B" w:rsidP="00B22B4B">
            <w:pPr>
              <w:pStyle w:val="BodyText"/>
            </w:pPr>
            <w:r w:rsidRPr="00B22B4B">
              <w:t>1</w:t>
            </w:r>
          </w:p>
        </w:tc>
        <w:tc>
          <w:tcPr>
            <w:tcW w:w="1962" w:type="dxa"/>
            <w:vMerge w:val="restart"/>
            <w:tcBorders>
              <w:top w:val="nil"/>
              <w:left w:val="nil"/>
              <w:bottom w:val="nil"/>
              <w:right w:val="nil"/>
            </w:tcBorders>
            <w:tcMar>
              <w:top w:w="0" w:type="dxa"/>
              <w:left w:w="62" w:type="dxa"/>
              <w:bottom w:w="0" w:type="dxa"/>
              <w:right w:w="62" w:type="dxa"/>
            </w:tcMar>
          </w:tcPr>
          <w:p w:rsidR="00000000" w:rsidP="00B22B4B">
            <w:pPr>
              <w:pStyle w:val="BodyText"/>
              <w:rPr>
                <w:lang w:val="en-NZ"/>
              </w:rPr>
            </w:pPr>
            <w:r w:rsidRPr="00B22B4B">
              <w:rPr>
                <w:rStyle w:val="SpecialBold"/>
              </w:rPr>
              <w:t>Construct high vacuum systems</w:t>
            </w:r>
          </w:p>
        </w:tc>
        <w:tc>
          <w:tcPr>
            <w:tcW w:w="770" w:type="dxa"/>
            <w:tcBorders>
              <w:top w:val="nil"/>
              <w:left w:val="nil"/>
              <w:bottom w:val="nil"/>
              <w:right w:val="nil"/>
            </w:tcBorders>
            <w:tcMar>
              <w:top w:w="0" w:type="dxa"/>
              <w:left w:w="62" w:type="dxa"/>
              <w:bottom w:w="0" w:type="dxa"/>
              <w:right w:w="62" w:type="dxa"/>
            </w:tcMar>
          </w:tcPr>
          <w:p w:rsidR="00000000" w:rsidP="00B22B4B">
            <w:pPr>
              <w:pStyle w:val="BodyText"/>
              <w:rPr>
                <w:lang w:val="en-NZ"/>
              </w:rPr>
            </w:pPr>
            <w:r w:rsidRPr="00B22B4B">
              <w:t>1.1</w:t>
            </w:r>
          </w:p>
        </w:tc>
        <w:tc>
          <w:tcPr>
            <w:tcW w:w="5610" w:type="dxa"/>
            <w:tcBorders>
              <w:top w:val="nil"/>
              <w:left w:val="nil"/>
              <w:bottom w:val="nil"/>
              <w:right w:val="nil"/>
            </w:tcBorders>
            <w:tcMar>
              <w:top w:w="0" w:type="dxa"/>
              <w:left w:w="62" w:type="dxa"/>
              <w:bottom w:w="0" w:type="dxa"/>
              <w:right w:w="62" w:type="dxa"/>
            </w:tcMar>
          </w:tcPr>
          <w:p w:rsidR="00000000" w:rsidP="00B22B4B">
            <w:pPr>
              <w:pStyle w:val="BodyText"/>
              <w:rPr>
                <w:lang w:val="en-NZ"/>
              </w:rPr>
            </w:pPr>
            <w:r w:rsidRPr="00B22B4B">
              <w:t>Consult with clients regarding design specifications and cost</w:t>
            </w:r>
          </w:p>
        </w:tc>
      </w:tr>
      <w:tr w:rsidTr="00B22B4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2B4B">
            <w:pPr>
              <w:pStyle w:val="BodyText"/>
              <w:rPr>
                <w:lang w:val="en-NZ"/>
              </w:rPr>
            </w:pPr>
            <w:r w:rsidRPr="00B22B4B">
              <w:t>1.2</w:t>
            </w:r>
          </w:p>
        </w:tc>
        <w:tc>
          <w:tcPr>
            <w:tcW w:w="5610" w:type="dxa"/>
            <w:tcBorders>
              <w:top w:val="nil"/>
              <w:left w:val="nil"/>
              <w:bottom w:val="nil"/>
              <w:right w:val="nil"/>
            </w:tcBorders>
            <w:tcMar>
              <w:top w:w="0" w:type="dxa"/>
              <w:left w:w="62" w:type="dxa"/>
              <w:bottom w:w="0" w:type="dxa"/>
              <w:right w:w="62" w:type="dxa"/>
            </w:tcMar>
          </w:tcPr>
          <w:p w:rsidR="00000000" w:rsidP="00B22B4B">
            <w:pPr>
              <w:pStyle w:val="BodyText"/>
              <w:rPr>
                <w:lang w:val="en-NZ"/>
              </w:rPr>
            </w:pPr>
            <w:r w:rsidRPr="00B22B4B">
              <w:t xml:space="preserve">Identify or prepare </w:t>
            </w:r>
            <w:r w:rsidRPr="00B22B4B">
              <w:t>appropriate blueprints, drawings, sketches and designs</w:t>
            </w:r>
          </w:p>
        </w:tc>
      </w:tr>
      <w:tr w:rsidTr="00B22B4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2B4B">
            <w:pPr>
              <w:pStyle w:val="BodyText"/>
              <w:rPr>
                <w:lang w:val="en-NZ"/>
              </w:rPr>
            </w:pPr>
            <w:r w:rsidRPr="00B22B4B">
              <w:t>1.3</w:t>
            </w:r>
          </w:p>
        </w:tc>
        <w:tc>
          <w:tcPr>
            <w:tcW w:w="5610" w:type="dxa"/>
            <w:tcBorders>
              <w:top w:val="nil"/>
              <w:left w:val="nil"/>
              <w:bottom w:val="nil"/>
              <w:right w:val="nil"/>
            </w:tcBorders>
            <w:tcMar>
              <w:top w:w="0" w:type="dxa"/>
              <w:left w:w="62" w:type="dxa"/>
              <w:bottom w:w="0" w:type="dxa"/>
              <w:right w:w="62" w:type="dxa"/>
            </w:tcMar>
          </w:tcPr>
          <w:p w:rsidR="00000000" w:rsidP="00B22B4B">
            <w:pPr>
              <w:pStyle w:val="BodyText"/>
              <w:rPr>
                <w:lang w:val="en-NZ"/>
              </w:rPr>
            </w:pPr>
            <w:r w:rsidRPr="00B22B4B">
              <w:t>Identify hazards and workplace safety requirements</w:t>
            </w:r>
          </w:p>
        </w:tc>
      </w:tr>
      <w:tr w:rsidTr="00B22B4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2B4B">
            <w:pPr>
              <w:pStyle w:val="BodyText"/>
              <w:rPr>
                <w:lang w:val="en-NZ"/>
              </w:rPr>
            </w:pPr>
            <w:r w:rsidRPr="00B22B4B">
              <w:t>1.4</w:t>
            </w:r>
          </w:p>
        </w:tc>
        <w:tc>
          <w:tcPr>
            <w:tcW w:w="5610" w:type="dxa"/>
            <w:tcBorders>
              <w:top w:val="nil"/>
              <w:left w:val="nil"/>
              <w:bottom w:val="nil"/>
              <w:right w:val="nil"/>
            </w:tcBorders>
            <w:tcMar>
              <w:top w:w="0" w:type="dxa"/>
              <w:left w:w="62" w:type="dxa"/>
              <w:bottom w:w="0" w:type="dxa"/>
              <w:right w:w="62" w:type="dxa"/>
            </w:tcMar>
          </w:tcPr>
          <w:p w:rsidR="00000000" w:rsidP="00B22B4B">
            <w:pPr>
              <w:pStyle w:val="BodyText"/>
              <w:rPr>
                <w:lang w:val="en-NZ"/>
              </w:rPr>
            </w:pPr>
            <w:r w:rsidRPr="00B22B4B">
              <w:t>Prepare equipment in accordance with job requirements</w:t>
            </w:r>
          </w:p>
        </w:tc>
      </w:tr>
      <w:tr w:rsidTr="00B22B4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2B4B">
            <w:pPr>
              <w:pStyle w:val="BodyText"/>
              <w:rPr>
                <w:lang w:val="en-NZ"/>
              </w:rPr>
            </w:pPr>
            <w:r w:rsidRPr="00B22B4B">
              <w:t>1.5</w:t>
            </w:r>
          </w:p>
        </w:tc>
        <w:tc>
          <w:tcPr>
            <w:tcW w:w="5610" w:type="dxa"/>
            <w:tcBorders>
              <w:top w:val="nil"/>
              <w:left w:val="nil"/>
              <w:bottom w:val="nil"/>
              <w:right w:val="nil"/>
            </w:tcBorders>
            <w:tcMar>
              <w:top w:w="0" w:type="dxa"/>
              <w:left w:w="62" w:type="dxa"/>
              <w:bottom w:w="0" w:type="dxa"/>
              <w:right w:w="62" w:type="dxa"/>
            </w:tcMar>
          </w:tcPr>
          <w:p w:rsidR="00000000" w:rsidP="00B22B4B">
            <w:pPr>
              <w:pStyle w:val="BodyText"/>
              <w:rPr>
                <w:lang w:val="en-NZ"/>
              </w:rPr>
            </w:pPr>
            <w:r w:rsidRPr="00B22B4B">
              <w:t>Construct and install vacuum apparatus</w:t>
            </w:r>
          </w:p>
        </w:tc>
      </w:tr>
      <w:tr w:rsidTr="00B22B4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2B4B">
            <w:pPr>
              <w:pStyle w:val="BodyText"/>
              <w:rPr>
                <w:lang w:val="en-NZ"/>
              </w:rPr>
            </w:pPr>
            <w:r w:rsidRPr="00B22B4B">
              <w:t>1.6</w:t>
            </w:r>
          </w:p>
        </w:tc>
        <w:tc>
          <w:tcPr>
            <w:tcW w:w="5610" w:type="dxa"/>
            <w:tcBorders>
              <w:top w:val="nil"/>
              <w:left w:val="nil"/>
              <w:bottom w:val="nil"/>
              <w:right w:val="nil"/>
            </w:tcBorders>
            <w:tcMar>
              <w:top w:w="0" w:type="dxa"/>
              <w:left w:w="62" w:type="dxa"/>
              <w:bottom w:w="0" w:type="dxa"/>
              <w:right w:w="62" w:type="dxa"/>
            </w:tcMar>
          </w:tcPr>
          <w:p w:rsidR="00000000" w:rsidP="00B22B4B">
            <w:pPr>
              <w:pStyle w:val="BodyText"/>
              <w:rPr>
                <w:lang w:val="en-NZ"/>
              </w:rPr>
            </w:pPr>
            <w:r w:rsidRPr="00B22B4B">
              <w:t>Trial and commission vacuum apparatus</w:t>
            </w:r>
          </w:p>
        </w:tc>
      </w:tr>
      <w:tr w:rsidTr="00B22B4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2B4B">
            <w:pPr>
              <w:pStyle w:val="BodyText"/>
              <w:rPr>
                <w:lang w:val="en-NZ"/>
              </w:rPr>
            </w:pPr>
            <w:r w:rsidRPr="00B22B4B">
              <w:t>1.7</w:t>
            </w:r>
          </w:p>
        </w:tc>
        <w:tc>
          <w:tcPr>
            <w:tcW w:w="5610" w:type="dxa"/>
            <w:tcBorders>
              <w:top w:val="nil"/>
              <w:left w:val="nil"/>
              <w:bottom w:val="nil"/>
              <w:right w:val="nil"/>
            </w:tcBorders>
            <w:tcMar>
              <w:top w:w="0" w:type="dxa"/>
              <w:left w:w="62" w:type="dxa"/>
              <w:bottom w:w="0" w:type="dxa"/>
              <w:right w:w="62" w:type="dxa"/>
            </w:tcMar>
          </w:tcPr>
          <w:p w:rsidR="00000000" w:rsidP="00B22B4B">
            <w:pPr>
              <w:pStyle w:val="BodyText"/>
              <w:rPr>
                <w:lang w:val="en-NZ"/>
              </w:rPr>
            </w:pPr>
            <w:r w:rsidRPr="00B22B4B">
              <w:t>Use leak detection equipment to vacuum check system</w:t>
            </w:r>
          </w:p>
        </w:tc>
      </w:tr>
      <w:tr w:rsidTr="00B22B4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2B4B">
            <w:pPr>
              <w:pStyle w:val="BodyText"/>
              <w:rPr>
                <w:lang w:val="en-NZ"/>
              </w:rPr>
            </w:pPr>
            <w:r w:rsidRPr="00B22B4B">
              <w:t>1.8</w:t>
            </w:r>
          </w:p>
        </w:tc>
        <w:tc>
          <w:tcPr>
            <w:tcW w:w="5610" w:type="dxa"/>
            <w:tcBorders>
              <w:top w:val="nil"/>
              <w:left w:val="nil"/>
              <w:bottom w:val="nil"/>
              <w:right w:val="nil"/>
            </w:tcBorders>
            <w:tcMar>
              <w:top w:w="0" w:type="dxa"/>
              <w:left w:w="62" w:type="dxa"/>
              <w:bottom w:w="0" w:type="dxa"/>
              <w:right w:w="62" w:type="dxa"/>
            </w:tcMar>
          </w:tcPr>
          <w:p w:rsidR="00000000" w:rsidP="00B22B4B">
            <w:pPr>
              <w:pStyle w:val="BodyText"/>
              <w:rPr>
                <w:lang w:val="en-NZ"/>
              </w:rPr>
            </w:pPr>
            <w:r w:rsidRPr="00B22B4B">
              <w:t>Complete records and file in the reporting system</w:t>
            </w:r>
          </w:p>
        </w:tc>
      </w:tr>
      <w:tr w:rsidTr="00B22B4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22B4B">
            <w:pPr>
              <w:pStyle w:val="BodyText"/>
              <w:rPr>
                <w:lang w:val="en-NZ"/>
              </w:rPr>
            </w:pPr>
          </w:p>
        </w:tc>
      </w:tr>
      <w:tr w:rsidTr="00B22B4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22B4B" w:rsidP="00B22B4B">
            <w:pPr>
              <w:pStyle w:val="BodyText"/>
            </w:pPr>
            <w:r w:rsidRPr="00B22B4B">
              <w:t>2</w:t>
            </w:r>
          </w:p>
        </w:tc>
        <w:tc>
          <w:tcPr>
            <w:tcW w:w="1962" w:type="dxa"/>
            <w:vMerge w:val="restart"/>
            <w:tcBorders>
              <w:top w:val="nil"/>
              <w:left w:val="nil"/>
              <w:bottom w:val="nil"/>
              <w:right w:val="nil"/>
            </w:tcBorders>
            <w:tcMar>
              <w:top w:w="0" w:type="dxa"/>
              <w:left w:w="62" w:type="dxa"/>
              <w:bottom w:w="0" w:type="dxa"/>
              <w:right w:w="62" w:type="dxa"/>
            </w:tcMar>
          </w:tcPr>
          <w:p w:rsidR="00000000" w:rsidP="00B22B4B">
            <w:pPr>
              <w:pStyle w:val="BodyText"/>
              <w:rPr>
                <w:lang w:val="en-NZ"/>
              </w:rPr>
            </w:pPr>
            <w:r w:rsidRPr="00B22B4B">
              <w:rPr>
                <w:rStyle w:val="SpecialBold"/>
              </w:rPr>
              <w:t>Modify high vacuum systems</w:t>
            </w:r>
          </w:p>
        </w:tc>
        <w:tc>
          <w:tcPr>
            <w:tcW w:w="770" w:type="dxa"/>
            <w:tcBorders>
              <w:top w:val="nil"/>
              <w:left w:val="nil"/>
              <w:bottom w:val="nil"/>
              <w:right w:val="nil"/>
            </w:tcBorders>
            <w:tcMar>
              <w:top w:w="0" w:type="dxa"/>
              <w:left w:w="62" w:type="dxa"/>
              <w:bottom w:w="0" w:type="dxa"/>
              <w:right w:w="62" w:type="dxa"/>
            </w:tcMar>
          </w:tcPr>
          <w:p w:rsidR="00000000" w:rsidP="00B22B4B">
            <w:pPr>
              <w:pStyle w:val="BodyText"/>
              <w:rPr>
                <w:lang w:val="en-NZ"/>
              </w:rPr>
            </w:pPr>
            <w:r w:rsidRPr="00B22B4B">
              <w:t>2.1</w:t>
            </w:r>
          </w:p>
        </w:tc>
        <w:tc>
          <w:tcPr>
            <w:tcW w:w="5610" w:type="dxa"/>
            <w:tcBorders>
              <w:top w:val="nil"/>
              <w:left w:val="nil"/>
              <w:bottom w:val="nil"/>
              <w:right w:val="nil"/>
            </w:tcBorders>
            <w:tcMar>
              <w:top w:w="0" w:type="dxa"/>
              <w:left w:w="62" w:type="dxa"/>
              <w:bottom w:w="0" w:type="dxa"/>
              <w:right w:w="62" w:type="dxa"/>
            </w:tcMar>
          </w:tcPr>
          <w:p w:rsidR="00000000" w:rsidP="00B22B4B">
            <w:pPr>
              <w:pStyle w:val="BodyText"/>
              <w:rPr>
                <w:lang w:val="en-NZ"/>
              </w:rPr>
            </w:pPr>
            <w:r w:rsidRPr="00B22B4B">
              <w:t>Identify opportunities to improve efficiency of vacuum system</w:t>
            </w:r>
          </w:p>
        </w:tc>
      </w:tr>
      <w:tr w:rsidTr="00B22B4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2B4B">
            <w:pPr>
              <w:pStyle w:val="BodyText"/>
              <w:rPr>
                <w:lang w:val="en-NZ"/>
              </w:rPr>
            </w:pPr>
            <w:r w:rsidRPr="00B22B4B">
              <w:t>2.2</w:t>
            </w:r>
          </w:p>
        </w:tc>
        <w:tc>
          <w:tcPr>
            <w:tcW w:w="5610" w:type="dxa"/>
            <w:tcBorders>
              <w:top w:val="nil"/>
              <w:left w:val="nil"/>
              <w:bottom w:val="nil"/>
              <w:right w:val="nil"/>
            </w:tcBorders>
            <w:tcMar>
              <w:top w:w="0" w:type="dxa"/>
              <w:left w:w="62" w:type="dxa"/>
              <w:bottom w:w="0" w:type="dxa"/>
              <w:right w:w="62" w:type="dxa"/>
            </w:tcMar>
          </w:tcPr>
          <w:p w:rsidR="00000000" w:rsidP="00B22B4B">
            <w:pPr>
              <w:pStyle w:val="BodyText"/>
              <w:rPr>
                <w:lang w:val="en-NZ"/>
              </w:rPr>
            </w:pPr>
            <w:r w:rsidRPr="00B22B4B">
              <w:t>Use leak detection equipment to vacuum check system</w:t>
            </w:r>
          </w:p>
        </w:tc>
      </w:tr>
      <w:tr w:rsidTr="00B22B4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2B4B">
            <w:pPr>
              <w:pStyle w:val="BodyText"/>
              <w:rPr>
                <w:lang w:val="en-NZ"/>
              </w:rPr>
            </w:pPr>
            <w:r w:rsidRPr="00B22B4B">
              <w:t>2.3</w:t>
            </w:r>
          </w:p>
        </w:tc>
        <w:tc>
          <w:tcPr>
            <w:tcW w:w="5610" w:type="dxa"/>
            <w:tcBorders>
              <w:top w:val="nil"/>
              <w:left w:val="nil"/>
              <w:bottom w:val="nil"/>
              <w:right w:val="nil"/>
            </w:tcBorders>
            <w:tcMar>
              <w:top w:w="0" w:type="dxa"/>
              <w:left w:w="62" w:type="dxa"/>
              <w:bottom w:w="0" w:type="dxa"/>
              <w:right w:w="62" w:type="dxa"/>
            </w:tcMar>
          </w:tcPr>
          <w:p w:rsidR="00000000" w:rsidP="00B22B4B">
            <w:pPr>
              <w:pStyle w:val="BodyText"/>
              <w:rPr>
                <w:lang w:val="en-NZ"/>
              </w:rPr>
            </w:pPr>
            <w:r w:rsidRPr="00B22B4B">
              <w:t>Identify gaps and deficiencies which limit system's usefulness</w:t>
            </w:r>
          </w:p>
        </w:tc>
      </w:tr>
      <w:tr w:rsidTr="00B22B4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2B4B">
            <w:pPr>
              <w:pStyle w:val="BodyText"/>
              <w:rPr>
                <w:lang w:val="en-NZ"/>
              </w:rPr>
            </w:pPr>
            <w:r w:rsidRPr="00B22B4B">
              <w:t>2.4</w:t>
            </w:r>
          </w:p>
        </w:tc>
        <w:tc>
          <w:tcPr>
            <w:tcW w:w="5610" w:type="dxa"/>
            <w:tcBorders>
              <w:top w:val="nil"/>
              <w:left w:val="nil"/>
              <w:bottom w:val="nil"/>
              <w:right w:val="nil"/>
            </w:tcBorders>
            <w:tcMar>
              <w:top w:w="0" w:type="dxa"/>
              <w:left w:w="62" w:type="dxa"/>
              <w:bottom w:w="0" w:type="dxa"/>
              <w:right w:w="62" w:type="dxa"/>
            </w:tcMar>
          </w:tcPr>
          <w:p w:rsidR="00000000" w:rsidP="00B22B4B">
            <w:pPr>
              <w:pStyle w:val="BodyText"/>
              <w:rPr>
                <w:lang w:val="en-NZ"/>
              </w:rPr>
            </w:pPr>
            <w:r w:rsidRPr="00B22B4B">
              <w:t>Confirm modification requirements with appropriate personnel</w:t>
            </w:r>
          </w:p>
        </w:tc>
      </w:tr>
      <w:tr w:rsidTr="00B22B4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2B4B">
            <w:pPr>
              <w:pStyle w:val="BodyText"/>
              <w:rPr>
                <w:lang w:val="en-NZ"/>
              </w:rPr>
            </w:pPr>
            <w:r w:rsidRPr="00B22B4B">
              <w:t>2.5</w:t>
            </w:r>
          </w:p>
        </w:tc>
        <w:tc>
          <w:tcPr>
            <w:tcW w:w="5610" w:type="dxa"/>
            <w:tcBorders>
              <w:top w:val="nil"/>
              <w:left w:val="nil"/>
              <w:bottom w:val="nil"/>
              <w:right w:val="nil"/>
            </w:tcBorders>
            <w:tcMar>
              <w:top w:w="0" w:type="dxa"/>
              <w:left w:w="62" w:type="dxa"/>
              <w:bottom w:w="0" w:type="dxa"/>
              <w:right w:w="62" w:type="dxa"/>
            </w:tcMar>
          </w:tcPr>
          <w:p w:rsidR="00000000" w:rsidP="00B22B4B">
            <w:pPr>
              <w:pStyle w:val="BodyText"/>
              <w:rPr>
                <w:lang w:val="en-NZ"/>
              </w:rPr>
            </w:pPr>
            <w:r w:rsidRPr="00B22B4B">
              <w:t>Modify system to meet requirements</w:t>
            </w:r>
          </w:p>
        </w:tc>
      </w:tr>
      <w:tr w:rsidTr="00B22B4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22B4B">
            <w:pPr>
              <w:pStyle w:val="BodyText"/>
              <w:rPr>
                <w:lang w:val="en-NZ"/>
              </w:rPr>
            </w:pPr>
          </w:p>
        </w:tc>
      </w:tr>
      <w:tr w:rsidTr="00B22B4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22B4B" w:rsidP="00B22B4B">
            <w:pPr>
              <w:pStyle w:val="BodyText"/>
            </w:pPr>
            <w:r w:rsidRPr="00B22B4B">
              <w:t>3</w:t>
            </w:r>
          </w:p>
        </w:tc>
        <w:tc>
          <w:tcPr>
            <w:tcW w:w="1962" w:type="dxa"/>
            <w:vMerge w:val="restart"/>
            <w:tcBorders>
              <w:top w:val="nil"/>
              <w:left w:val="nil"/>
              <w:bottom w:val="nil"/>
              <w:right w:val="nil"/>
            </w:tcBorders>
            <w:tcMar>
              <w:top w:w="0" w:type="dxa"/>
              <w:left w:w="62" w:type="dxa"/>
              <w:bottom w:w="0" w:type="dxa"/>
              <w:right w:w="62" w:type="dxa"/>
            </w:tcMar>
          </w:tcPr>
          <w:p w:rsidR="00000000" w:rsidP="00B22B4B">
            <w:pPr>
              <w:pStyle w:val="BodyText"/>
              <w:rPr>
                <w:lang w:val="en-NZ"/>
              </w:rPr>
            </w:pPr>
            <w:r w:rsidRPr="00B22B4B">
              <w:rPr>
                <w:rStyle w:val="SpecialBold"/>
              </w:rPr>
              <w:t>Maintain high vacuum systems</w:t>
            </w:r>
          </w:p>
        </w:tc>
        <w:tc>
          <w:tcPr>
            <w:tcW w:w="770" w:type="dxa"/>
            <w:tcBorders>
              <w:top w:val="nil"/>
              <w:left w:val="nil"/>
              <w:bottom w:val="nil"/>
              <w:right w:val="nil"/>
            </w:tcBorders>
            <w:tcMar>
              <w:top w:w="0" w:type="dxa"/>
              <w:left w:w="62" w:type="dxa"/>
              <w:bottom w:w="0" w:type="dxa"/>
              <w:right w:w="62" w:type="dxa"/>
            </w:tcMar>
          </w:tcPr>
          <w:p w:rsidR="00000000" w:rsidP="00B22B4B">
            <w:pPr>
              <w:pStyle w:val="BodyText"/>
              <w:rPr>
                <w:lang w:val="en-NZ"/>
              </w:rPr>
            </w:pPr>
            <w:r w:rsidRPr="00B22B4B">
              <w:t>3.1</w:t>
            </w:r>
          </w:p>
        </w:tc>
        <w:tc>
          <w:tcPr>
            <w:tcW w:w="5610" w:type="dxa"/>
            <w:tcBorders>
              <w:top w:val="nil"/>
              <w:left w:val="nil"/>
              <w:bottom w:val="nil"/>
              <w:right w:val="nil"/>
            </w:tcBorders>
            <w:tcMar>
              <w:top w:w="0" w:type="dxa"/>
              <w:left w:w="62" w:type="dxa"/>
              <w:bottom w:w="0" w:type="dxa"/>
              <w:right w:w="62" w:type="dxa"/>
            </w:tcMar>
          </w:tcPr>
          <w:p w:rsidR="00000000" w:rsidP="00B22B4B">
            <w:pPr>
              <w:pStyle w:val="BodyText"/>
              <w:rPr>
                <w:lang w:val="en-NZ"/>
              </w:rPr>
            </w:pPr>
            <w:r w:rsidRPr="00B22B4B">
              <w:t>Identify maintenance procedures and appropriate records</w:t>
            </w:r>
          </w:p>
        </w:tc>
      </w:tr>
      <w:tr w:rsidTr="00B22B4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2B4B">
            <w:pPr>
              <w:pStyle w:val="BodyText"/>
              <w:rPr>
                <w:lang w:val="en-NZ"/>
              </w:rPr>
            </w:pPr>
            <w:r w:rsidRPr="00B22B4B">
              <w:t>3.2</w:t>
            </w:r>
          </w:p>
        </w:tc>
        <w:tc>
          <w:tcPr>
            <w:tcW w:w="5610" w:type="dxa"/>
            <w:tcBorders>
              <w:top w:val="nil"/>
              <w:left w:val="nil"/>
              <w:bottom w:val="nil"/>
              <w:right w:val="nil"/>
            </w:tcBorders>
            <w:tcMar>
              <w:top w:w="0" w:type="dxa"/>
              <w:left w:w="62" w:type="dxa"/>
              <w:bottom w:w="0" w:type="dxa"/>
              <w:right w:w="62" w:type="dxa"/>
            </w:tcMar>
          </w:tcPr>
          <w:p w:rsidR="00000000" w:rsidP="00B22B4B">
            <w:pPr>
              <w:pStyle w:val="BodyText"/>
              <w:rPr>
                <w:lang w:val="en-NZ"/>
              </w:rPr>
            </w:pPr>
            <w:r w:rsidRPr="00B22B4B">
              <w:t>Plan and evaluate maintenance according to appropriate quality standards</w:t>
            </w:r>
          </w:p>
        </w:tc>
      </w:tr>
      <w:tr w:rsidTr="00B22B4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2B4B">
            <w:pPr>
              <w:pStyle w:val="BodyText"/>
              <w:rPr>
                <w:lang w:val="en-NZ"/>
              </w:rPr>
            </w:pPr>
            <w:r w:rsidRPr="00B22B4B">
              <w:t>3.3</w:t>
            </w:r>
          </w:p>
        </w:tc>
        <w:tc>
          <w:tcPr>
            <w:tcW w:w="5610" w:type="dxa"/>
            <w:tcBorders>
              <w:top w:val="nil"/>
              <w:left w:val="nil"/>
              <w:bottom w:val="nil"/>
              <w:right w:val="nil"/>
            </w:tcBorders>
            <w:tcMar>
              <w:top w:w="0" w:type="dxa"/>
              <w:left w:w="62" w:type="dxa"/>
              <w:bottom w:w="0" w:type="dxa"/>
              <w:right w:w="62" w:type="dxa"/>
            </w:tcMar>
          </w:tcPr>
          <w:p w:rsidR="00000000" w:rsidP="00B22B4B">
            <w:pPr>
              <w:pStyle w:val="BodyText"/>
              <w:rPr>
                <w:lang w:val="en-NZ"/>
              </w:rPr>
            </w:pPr>
            <w:r w:rsidRPr="00B22B4B">
              <w:t>Identify, document and report need for maintenance for faulty or damaged equipment</w:t>
            </w:r>
          </w:p>
        </w:tc>
      </w:tr>
      <w:tr w:rsidTr="00B22B4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2B4B">
            <w:pPr>
              <w:pStyle w:val="BodyText"/>
              <w:rPr>
                <w:lang w:val="en-NZ"/>
              </w:rPr>
            </w:pPr>
            <w:r w:rsidRPr="00B22B4B">
              <w:t>3.4</w:t>
            </w:r>
          </w:p>
        </w:tc>
        <w:tc>
          <w:tcPr>
            <w:tcW w:w="5610" w:type="dxa"/>
            <w:tcBorders>
              <w:top w:val="nil"/>
              <w:left w:val="nil"/>
              <w:bottom w:val="nil"/>
              <w:right w:val="nil"/>
            </w:tcBorders>
            <w:tcMar>
              <w:top w:w="0" w:type="dxa"/>
              <w:left w:w="62" w:type="dxa"/>
              <w:bottom w:w="0" w:type="dxa"/>
              <w:right w:w="62" w:type="dxa"/>
            </w:tcMar>
          </w:tcPr>
          <w:p w:rsidR="00000000" w:rsidP="00B22B4B">
            <w:pPr>
              <w:pStyle w:val="BodyText"/>
              <w:rPr>
                <w:lang w:val="en-NZ"/>
              </w:rPr>
            </w:pPr>
            <w:r w:rsidRPr="00B22B4B">
              <w:t>Maintain vacuum and associated systems according to standard procedures</w:t>
            </w:r>
          </w:p>
        </w:tc>
      </w:tr>
      <w:tr w:rsidTr="00B22B4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2B4B">
            <w:pPr>
              <w:pStyle w:val="BodyText"/>
              <w:rPr>
                <w:lang w:val="en-NZ"/>
              </w:rPr>
            </w:pPr>
            <w:r w:rsidRPr="00B22B4B">
              <w:t>3.5</w:t>
            </w:r>
          </w:p>
        </w:tc>
        <w:tc>
          <w:tcPr>
            <w:tcW w:w="5610" w:type="dxa"/>
            <w:tcBorders>
              <w:top w:val="nil"/>
              <w:left w:val="nil"/>
              <w:bottom w:val="nil"/>
              <w:right w:val="nil"/>
            </w:tcBorders>
            <w:tcMar>
              <w:top w:w="0" w:type="dxa"/>
              <w:left w:w="62" w:type="dxa"/>
              <w:bottom w:w="0" w:type="dxa"/>
              <w:right w:w="62" w:type="dxa"/>
            </w:tcMar>
          </w:tcPr>
          <w:p w:rsidR="00000000" w:rsidP="00B22B4B">
            <w:pPr>
              <w:pStyle w:val="BodyText"/>
              <w:rPr>
                <w:lang w:val="en-NZ"/>
              </w:rPr>
            </w:pPr>
            <w:r w:rsidRPr="00B22B4B">
              <w:t>Use leak detection equipment to vacuum check system</w:t>
            </w:r>
          </w:p>
        </w:tc>
      </w:tr>
      <w:tr w:rsidTr="00B22B4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22B4B">
            <w:pPr>
              <w:pStyle w:val="BodyText"/>
              <w:rPr>
                <w:lang w:val="en-NZ"/>
              </w:rPr>
            </w:pPr>
          </w:p>
        </w:tc>
      </w:tr>
      <w:tr w:rsidTr="00B22B4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22B4B" w:rsidP="00B22B4B">
            <w:pPr>
              <w:pStyle w:val="BodyText"/>
            </w:pPr>
            <w:r w:rsidRPr="00B22B4B">
              <w:t>4</w:t>
            </w:r>
          </w:p>
        </w:tc>
        <w:tc>
          <w:tcPr>
            <w:tcW w:w="1962" w:type="dxa"/>
            <w:vMerge w:val="restart"/>
            <w:tcBorders>
              <w:top w:val="nil"/>
              <w:left w:val="nil"/>
              <w:bottom w:val="nil"/>
              <w:right w:val="nil"/>
            </w:tcBorders>
            <w:tcMar>
              <w:top w:w="0" w:type="dxa"/>
              <w:left w:w="62" w:type="dxa"/>
              <w:bottom w:w="0" w:type="dxa"/>
              <w:right w:w="62" w:type="dxa"/>
            </w:tcMar>
          </w:tcPr>
          <w:p w:rsidR="00000000" w:rsidP="00B22B4B">
            <w:pPr>
              <w:pStyle w:val="BodyText"/>
              <w:rPr>
                <w:lang w:val="en-NZ"/>
              </w:rPr>
            </w:pPr>
            <w:r w:rsidRPr="00B22B4B">
              <w:rPr>
                <w:rStyle w:val="SpecialBold"/>
              </w:rPr>
              <w:t>Monitor and finetune vacuum operation</w:t>
            </w:r>
          </w:p>
        </w:tc>
        <w:tc>
          <w:tcPr>
            <w:tcW w:w="770" w:type="dxa"/>
            <w:tcBorders>
              <w:top w:val="nil"/>
              <w:left w:val="nil"/>
              <w:bottom w:val="nil"/>
              <w:right w:val="nil"/>
            </w:tcBorders>
            <w:tcMar>
              <w:top w:w="0" w:type="dxa"/>
              <w:left w:w="62" w:type="dxa"/>
              <w:bottom w:w="0" w:type="dxa"/>
              <w:right w:w="62" w:type="dxa"/>
            </w:tcMar>
          </w:tcPr>
          <w:p w:rsidR="00000000" w:rsidP="00B22B4B">
            <w:pPr>
              <w:pStyle w:val="BodyText"/>
              <w:rPr>
                <w:lang w:val="en-NZ"/>
              </w:rPr>
            </w:pPr>
            <w:r w:rsidRPr="00B22B4B">
              <w:t>4.1</w:t>
            </w:r>
          </w:p>
        </w:tc>
        <w:tc>
          <w:tcPr>
            <w:tcW w:w="5610" w:type="dxa"/>
            <w:tcBorders>
              <w:top w:val="nil"/>
              <w:left w:val="nil"/>
              <w:bottom w:val="nil"/>
              <w:right w:val="nil"/>
            </w:tcBorders>
            <w:tcMar>
              <w:top w:w="0" w:type="dxa"/>
              <w:left w:w="62" w:type="dxa"/>
              <w:bottom w:w="0" w:type="dxa"/>
              <w:right w:w="62" w:type="dxa"/>
            </w:tcMar>
          </w:tcPr>
          <w:p w:rsidR="00000000" w:rsidP="00B22B4B">
            <w:pPr>
              <w:pStyle w:val="BodyText"/>
              <w:rPr>
                <w:lang w:val="en-NZ"/>
              </w:rPr>
            </w:pPr>
            <w:r w:rsidRPr="00B22B4B">
              <w:t>Monitor system to determine whether equipment is operating to specification</w:t>
            </w:r>
          </w:p>
        </w:tc>
      </w:tr>
      <w:tr w:rsidTr="00B22B4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2B4B">
            <w:pPr>
              <w:pStyle w:val="BodyText"/>
              <w:rPr>
                <w:lang w:val="en-NZ"/>
              </w:rPr>
            </w:pPr>
            <w:r w:rsidRPr="00B22B4B">
              <w:t>4.2</w:t>
            </w:r>
          </w:p>
        </w:tc>
        <w:tc>
          <w:tcPr>
            <w:tcW w:w="5610" w:type="dxa"/>
            <w:tcBorders>
              <w:top w:val="nil"/>
              <w:left w:val="nil"/>
              <w:bottom w:val="nil"/>
              <w:right w:val="nil"/>
            </w:tcBorders>
            <w:tcMar>
              <w:top w:w="0" w:type="dxa"/>
              <w:left w:w="62" w:type="dxa"/>
              <w:bottom w:w="0" w:type="dxa"/>
              <w:right w:w="62" w:type="dxa"/>
            </w:tcMar>
          </w:tcPr>
          <w:p w:rsidR="00000000" w:rsidP="00B22B4B">
            <w:pPr>
              <w:pStyle w:val="BodyText"/>
              <w:rPr>
                <w:lang w:val="en-NZ"/>
              </w:rPr>
            </w:pPr>
            <w:r w:rsidRPr="00B22B4B">
              <w:t>Evaluate equipment outputs to determine nature of problem</w:t>
            </w:r>
          </w:p>
        </w:tc>
      </w:tr>
      <w:tr w:rsidTr="00B22B4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2B4B">
            <w:pPr>
              <w:pStyle w:val="BodyText"/>
              <w:rPr>
                <w:lang w:val="en-NZ"/>
              </w:rPr>
            </w:pPr>
            <w:r w:rsidRPr="00B22B4B">
              <w:t>4.3</w:t>
            </w:r>
          </w:p>
        </w:tc>
        <w:tc>
          <w:tcPr>
            <w:tcW w:w="5610" w:type="dxa"/>
            <w:tcBorders>
              <w:top w:val="nil"/>
              <w:left w:val="nil"/>
              <w:bottom w:val="nil"/>
              <w:right w:val="nil"/>
            </w:tcBorders>
            <w:tcMar>
              <w:top w:w="0" w:type="dxa"/>
              <w:left w:w="62" w:type="dxa"/>
              <w:bottom w:w="0" w:type="dxa"/>
              <w:right w:w="62" w:type="dxa"/>
            </w:tcMar>
          </w:tcPr>
          <w:p w:rsidR="00000000" w:rsidP="00B22B4B">
            <w:pPr>
              <w:pStyle w:val="BodyText"/>
              <w:rPr>
                <w:lang w:val="en-NZ"/>
              </w:rPr>
            </w:pPr>
            <w:r w:rsidRPr="00B22B4B">
              <w:t>Define nature of sub-standard performance clearly</w:t>
            </w:r>
          </w:p>
        </w:tc>
      </w:tr>
      <w:tr w:rsidTr="00B22B4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2B4B">
            <w:pPr>
              <w:pStyle w:val="BodyText"/>
              <w:rPr>
                <w:lang w:val="en-NZ"/>
              </w:rPr>
            </w:pPr>
            <w:r w:rsidRPr="00B22B4B">
              <w:t>4.4</w:t>
            </w:r>
          </w:p>
        </w:tc>
        <w:tc>
          <w:tcPr>
            <w:tcW w:w="5610" w:type="dxa"/>
            <w:tcBorders>
              <w:top w:val="nil"/>
              <w:left w:val="nil"/>
              <w:bottom w:val="nil"/>
              <w:right w:val="nil"/>
            </w:tcBorders>
            <w:tcMar>
              <w:top w:w="0" w:type="dxa"/>
              <w:left w:w="62" w:type="dxa"/>
              <w:bottom w:w="0" w:type="dxa"/>
              <w:right w:w="62" w:type="dxa"/>
            </w:tcMar>
          </w:tcPr>
          <w:p w:rsidR="00000000" w:rsidP="00B22B4B">
            <w:pPr>
              <w:pStyle w:val="BodyText"/>
              <w:rPr>
                <w:lang w:val="en-NZ"/>
              </w:rPr>
            </w:pPr>
            <w:r w:rsidRPr="00B22B4B">
              <w:t>Fine tune system to restore system to specification</w:t>
            </w:r>
          </w:p>
        </w:tc>
      </w:tr>
      <w:tr w:rsidTr="00B22B4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22B4B">
            <w:pPr>
              <w:pStyle w:val="BodyText"/>
              <w:rPr>
                <w:lang w:val="en-NZ"/>
              </w:rPr>
            </w:pPr>
          </w:p>
        </w:tc>
      </w:tr>
      <w:tr w:rsidTr="00B22B4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22B4B" w:rsidP="00B22B4B">
            <w:pPr>
              <w:pStyle w:val="BodyText"/>
            </w:pPr>
            <w:r w:rsidRPr="00B22B4B">
              <w:t>5</w:t>
            </w:r>
          </w:p>
        </w:tc>
        <w:tc>
          <w:tcPr>
            <w:tcW w:w="1962" w:type="dxa"/>
            <w:vMerge w:val="restart"/>
            <w:tcBorders>
              <w:top w:val="nil"/>
              <w:left w:val="nil"/>
              <w:bottom w:val="nil"/>
              <w:right w:val="nil"/>
            </w:tcBorders>
            <w:tcMar>
              <w:top w:w="0" w:type="dxa"/>
              <w:left w:w="62" w:type="dxa"/>
              <w:bottom w:w="0" w:type="dxa"/>
              <w:right w:w="62" w:type="dxa"/>
            </w:tcMar>
          </w:tcPr>
          <w:p w:rsidR="00000000" w:rsidP="00B22B4B">
            <w:pPr>
              <w:pStyle w:val="BodyText"/>
              <w:rPr>
                <w:lang w:val="en-NZ"/>
              </w:rPr>
            </w:pPr>
            <w:r w:rsidRPr="00B22B4B">
              <w:rPr>
                <w:rStyle w:val="SpecialBold"/>
              </w:rPr>
              <w:t>Maintain a safe work environment</w:t>
            </w:r>
          </w:p>
        </w:tc>
        <w:tc>
          <w:tcPr>
            <w:tcW w:w="770" w:type="dxa"/>
            <w:tcBorders>
              <w:top w:val="nil"/>
              <w:left w:val="nil"/>
              <w:bottom w:val="nil"/>
              <w:right w:val="nil"/>
            </w:tcBorders>
            <w:tcMar>
              <w:top w:w="0" w:type="dxa"/>
              <w:left w:w="62" w:type="dxa"/>
              <w:bottom w:w="0" w:type="dxa"/>
              <w:right w:w="62" w:type="dxa"/>
            </w:tcMar>
          </w:tcPr>
          <w:p w:rsidR="00000000" w:rsidP="00B22B4B">
            <w:pPr>
              <w:pStyle w:val="BodyText"/>
              <w:rPr>
                <w:lang w:val="en-NZ"/>
              </w:rPr>
            </w:pPr>
            <w:r w:rsidRPr="00B22B4B">
              <w:t>5.1</w:t>
            </w:r>
          </w:p>
        </w:tc>
        <w:tc>
          <w:tcPr>
            <w:tcW w:w="5610" w:type="dxa"/>
            <w:tcBorders>
              <w:top w:val="nil"/>
              <w:left w:val="nil"/>
              <w:bottom w:val="nil"/>
              <w:right w:val="nil"/>
            </w:tcBorders>
            <w:tcMar>
              <w:top w:w="0" w:type="dxa"/>
              <w:left w:w="62" w:type="dxa"/>
              <w:bottom w:w="0" w:type="dxa"/>
              <w:right w:w="62" w:type="dxa"/>
            </w:tcMar>
          </w:tcPr>
          <w:p w:rsidR="00000000" w:rsidP="00B22B4B">
            <w:pPr>
              <w:pStyle w:val="BodyText"/>
              <w:rPr>
                <w:lang w:val="en-NZ"/>
              </w:rPr>
            </w:pPr>
            <w:r w:rsidRPr="00B22B4B">
              <w:t>Use established safe work practices and personal protective equipment (PPE) to ensure safety of self and other workers</w:t>
            </w:r>
          </w:p>
        </w:tc>
      </w:tr>
      <w:tr w:rsidTr="00B22B4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2B4B">
            <w:pPr>
              <w:pStyle w:val="BodyText"/>
              <w:rPr>
                <w:lang w:val="en-NZ"/>
              </w:rPr>
            </w:pPr>
            <w:r w:rsidRPr="00B22B4B">
              <w:t>5.2</w:t>
            </w:r>
          </w:p>
        </w:tc>
        <w:tc>
          <w:tcPr>
            <w:tcW w:w="5610" w:type="dxa"/>
            <w:tcBorders>
              <w:top w:val="nil"/>
              <w:left w:val="nil"/>
              <w:bottom w:val="nil"/>
              <w:right w:val="nil"/>
            </w:tcBorders>
            <w:tcMar>
              <w:top w:w="0" w:type="dxa"/>
              <w:left w:w="62" w:type="dxa"/>
              <w:bottom w:w="0" w:type="dxa"/>
              <w:right w:w="62" w:type="dxa"/>
            </w:tcMar>
          </w:tcPr>
          <w:p w:rsidR="00000000" w:rsidP="00B22B4B">
            <w:pPr>
              <w:pStyle w:val="BodyText"/>
              <w:rPr>
                <w:lang w:val="en-NZ"/>
              </w:rPr>
            </w:pPr>
            <w:r w:rsidRPr="00B22B4B">
              <w:t>Minimise the generation of wastes</w:t>
            </w:r>
          </w:p>
        </w:tc>
      </w:tr>
      <w:tr w:rsidTr="00B22B4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2B4B">
            <w:pPr>
              <w:pStyle w:val="BodyText"/>
              <w:rPr>
                <w:lang w:val="en-NZ"/>
              </w:rPr>
            </w:pPr>
            <w:r w:rsidRPr="00B22B4B">
              <w:t>5.3</w:t>
            </w:r>
          </w:p>
        </w:tc>
        <w:tc>
          <w:tcPr>
            <w:tcW w:w="5610" w:type="dxa"/>
            <w:tcBorders>
              <w:top w:val="nil"/>
              <w:left w:val="nil"/>
              <w:bottom w:val="nil"/>
              <w:right w:val="nil"/>
            </w:tcBorders>
            <w:tcMar>
              <w:top w:w="0" w:type="dxa"/>
              <w:left w:w="62" w:type="dxa"/>
              <w:bottom w:w="0" w:type="dxa"/>
              <w:right w:w="62" w:type="dxa"/>
            </w:tcMar>
          </w:tcPr>
          <w:p w:rsidR="00000000" w:rsidP="00B22B4B">
            <w:pPr>
              <w:pStyle w:val="BodyText"/>
              <w:rPr>
                <w:lang w:val="en-NZ"/>
              </w:rPr>
            </w:pPr>
            <w:r w:rsidRPr="00B22B4B">
              <w:t>Ensure the safe disposal of wastes</w:t>
            </w:r>
          </w:p>
        </w:tc>
      </w:tr>
      <w:tr w:rsidTr="00B22B4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2B4B">
            <w:pPr>
              <w:pStyle w:val="BodyText"/>
              <w:rPr>
                <w:lang w:val="en-NZ"/>
              </w:rPr>
            </w:pPr>
            <w:r w:rsidRPr="00B22B4B">
              <w:t>5.4</w:t>
            </w:r>
          </w:p>
        </w:tc>
        <w:tc>
          <w:tcPr>
            <w:tcW w:w="5610" w:type="dxa"/>
            <w:tcBorders>
              <w:top w:val="nil"/>
              <w:left w:val="nil"/>
              <w:bottom w:val="nil"/>
              <w:right w:val="nil"/>
            </w:tcBorders>
            <w:tcMar>
              <w:top w:w="0" w:type="dxa"/>
              <w:left w:w="62" w:type="dxa"/>
              <w:bottom w:w="0" w:type="dxa"/>
              <w:right w:w="62" w:type="dxa"/>
            </w:tcMar>
          </w:tcPr>
          <w:p w:rsidR="00000000" w:rsidP="00B22B4B">
            <w:pPr>
              <w:pStyle w:val="BodyText"/>
              <w:rPr>
                <w:lang w:val="en-NZ"/>
              </w:rPr>
            </w:pPr>
            <w:r w:rsidRPr="00B22B4B">
              <w:t>Clean, care for and maintain work area, equipment and tools</w:t>
            </w:r>
          </w:p>
        </w:tc>
      </w:tr>
      <w:tr w:rsidTr="00B22B4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2B4B">
            <w:pPr>
              <w:pStyle w:val="BodyText"/>
              <w:rPr>
                <w:lang w:val="en-NZ"/>
              </w:rPr>
            </w:pPr>
            <w:r w:rsidRPr="00B22B4B">
              <w:t>5.5</w:t>
            </w:r>
          </w:p>
        </w:tc>
        <w:tc>
          <w:tcPr>
            <w:tcW w:w="5610" w:type="dxa"/>
            <w:tcBorders>
              <w:top w:val="nil"/>
              <w:left w:val="nil"/>
              <w:bottom w:val="nil"/>
              <w:right w:val="nil"/>
            </w:tcBorders>
            <w:tcMar>
              <w:top w:w="0" w:type="dxa"/>
              <w:left w:w="62" w:type="dxa"/>
              <w:bottom w:w="0" w:type="dxa"/>
              <w:right w:w="62" w:type="dxa"/>
            </w:tcMar>
          </w:tcPr>
          <w:p w:rsidR="00000000" w:rsidP="00B22B4B">
            <w:pPr>
              <w:pStyle w:val="BodyText"/>
              <w:rPr>
                <w:lang w:val="en-NZ"/>
              </w:rPr>
            </w:pPr>
            <w:r w:rsidRPr="00B22B4B">
              <w:t>Report any hazards or incidents according to workplace procedures</w:t>
            </w:r>
          </w:p>
        </w:tc>
      </w:tr>
      <w:tr w:rsidTr="00B22B4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22B4B">
            <w:pPr>
              <w:pStyle w:val="BodyText"/>
              <w:rPr>
                <w:lang w:val="en-NZ"/>
              </w:rPr>
            </w:pPr>
          </w:p>
        </w:tc>
      </w:tr>
      <w:tr w:rsidTr="00B22B4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22B4B" w:rsidP="00B22B4B">
            <w:pPr>
              <w:pStyle w:val="BodyText"/>
            </w:pPr>
            <w:r w:rsidRPr="00B22B4B">
              <w:t>6</w:t>
            </w:r>
          </w:p>
        </w:tc>
        <w:tc>
          <w:tcPr>
            <w:tcW w:w="1962" w:type="dxa"/>
            <w:vMerge w:val="restart"/>
            <w:tcBorders>
              <w:top w:val="nil"/>
              <w:left w:val="nil"/>
              <w:bottom w:val="nil"/>
              <w:right w:val="nil"/>
            </w:tcBorders>
            <w:tcMar>
              <w:top w:w="0" w:type="dxa"/>
              <w:left w:w="62" w:type="dxa"/>
              <w:bottom w:w="0" w:type="dxa"/>
              <w:right w:w="62" w:type="dxa"/>
            </w:tcMar>
          </w:tcPr>
          <w:p w:rsidR="00000000" w:rsidP="00B22B4B">
            <w:pPr>
              <w:pStyle w:val="BodyText"/>
              <w:rPr>
                <w:lang w:val="en-NZ"/>
              </w:rPr>
            </w:pPr>
            <w:r w:rsidRPr="00B22B4B">
              <w:rPr>
                <w:rStyle w:val="SpecialBold"/>
              </w:rPr>
              <w:t>Maintain records</w:t>
            </w:r>
          </w:p>
        </w:tc>
        <w:tc>
          <w:tcPr>
            <w:tcW w:w="770" w:type="dxa"/>
            <w:tcBorders>
              <w:top w:val="nil"/>
              <w:left w:val="nil"/>
              <w:bottom w:val="nil"/>
              <w:right w:val="nil"/>
            </w:tcBorders>
            <w:tcMar>
              <w:top w:w="0" w:type="dxa"/>
              <w:left w:w="62" w:type="dxa"/>
              <w:bottom w:w="0" w:type="dxa"/>
              <w:right w:w="62" w:type="dxa"/>
            </w:tcMar>
          </w:tcPr>
          <w:p w:rsidR="00000000" w:rsidP="00B22B4B">
            <w:pPr>
              <w:pStyle w:val="BodyText"/>
              <w:rPr>
                <w:lang w:val="en-NZ"/>
              </w:rPr>
            </w:pPr>
            <w:r w:rsidRPr="00B22B4B">
              <w:t>6.1</w:t>
            </w:r>
          </w:p>
        </w:tc>
        <w:tc>
          <w:tcPr>
            <w:tcW w:w="5610" w:type="dxa"/>
            <w:tcBorders>
              <w:top w:val="nil"/>
              <w:left w:val="nil"/>
              <w:bottom w:val="nil"/>
              <w:right w:val="nil"/>
            </w:tcBorders>
            <w:tcMar>
              <w:top w:w="0" w:type="dxa"/>
              <w:left w:w="62" w:type="dxa"/>
              <w:bottom w:w="0" w:type="dxa"/>
              <w:right w:w="62" w:type="dxa"/>
            </w:tcMar>
          </w:tcPr>
          <w:p w:rsidR="00000000" w:rsidP="00B22B4B">
            <w:pPr>
              <w:pStyle w:val="BodyText"/>
              <w:rPr>
                <w:lang w:val="en-NZ"/>
              </w:rPr>
            </w:pPr>
            <w:r w:rsidRPr="00B22B4B">
              <w:t>Record data in accordance with workplace requirements</w:t>
            </w:r>
          </w:p>
        </w:tc>
      </w:tr>
      <w:tr w:rsidTr="00B22B4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2B4B">
            <w:pPr>
              <w:pStyle w:val="BodyText"/>
              <w:rPr>
                <w:lang w:val="en-NZ"/>
              </w:rPr>
            </w:pPr>
            <w:r w:rsidRPr="00B22B4B">
              <w:t>6.2</w:t>
            </w:r>
          </w:p>
        </w:tc>
        <w:tc>
          <w:tcPr>
            <w:tcW w:w="5610" w:type="dxa"/>
            <w:tcBorders>
              <w:top w:val="nil"/>
              <w:left w:val="nil"/>
              <w:bottom w:val="nil"/>
              <w:right w:val="nil"/>
            </w:tcBorders>
            <w:tcMar>
              <w:top w:w="0" w:type="dxa"/>
              <w:left w:w="62" w:type="dxa"/>
              <w:bottom w:w="0" w:type="dxa"/>
              <w:right w:w="62" w:type="dxa"/>
            </w:tcMar>
          </w:tcPr>
          <w:p w:rsidR="00000000" w:rsidP="00B22B4B">
            <w:pPr>
              <w:pStyle w:val="BodyText"/>
              <w:rPr>
                <w:lang w:val="en-NZ"/>
              </w:rPr>
            </w:pPr>
            <w:r w:rsidRPr="00B22B4B">
              <w:t>Maintain glass apparatus and system equipment logs in accordance with workplace requirements</w:t>
            </w:r>
          </w:p>
        </w:tc>
      </w:tr>
      <w:tr w:rsidTr="00B22B4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2B4B">
            <w:pPr>
              <w:pStyle w:val="BodyText"/>
              <w:rPr>
                <w:lang w:val="en-NZ"/>
              </w:rPr>
            </w:pPr>
            <w:r w:rsidRPr="00B22B4B">
              <w:t>6.3</w:t>
            </w:r>
          </w:p>
        </w:tc>
        <w:tc>
          <w:tcPr>
            <w:tcW w:w="5610" w:type="dxa"/>
            <w:tcBorders>
              <w:top w:val="nil"/>
              <w:left w:val="nil"/>
              <w:bottom w:val="nil"/>
              <w:right w:val="nil"/>
            </w:tcBorders>
            <w:tcMar>
              <w:top w:w="0" w:type="dxa"/>
              <w:left w:w="62" w:type="dxa"/>
              <w:bottom w:w="0" w:type="dxa"/>
              <w:right w:w="62" w:type="dxa"/>
            </w:tcMar>
          </w:tcPr>
          <w:p w:rsidR="00000000" w:rsidRPr="00B22B4B" w:rsidP="00B22B4B">
            <w:pPr>
              <w:pStyle w:val="BodyText"/>
            </w:pPr>
            <w:r w:rsidRPr="00B22B4B">
              <w:t>Maintain security and confidentiality of workplace information</w:t>
            </w:r>
          </w:p>
        </w:tc>
      </w:tr>
    </w:tbl>
    <w:p w:rsidR="00000000" w:rsidRPr="00B22B4B" w:rsidP="00B22B4B">
      <w:pPr>
        <w:pStyle w:val="BodyText"/>
      </w:pPr>
    </w:p>
    <w:p w:rsidR="00000000" w:rsidRPr="00B22B4B" w:rsidP="00B22B4B">
      <w:pPr>
        <w:pStyle w:val="AllowPageBreak"/>
      </w:pPr>
    </w:p>
    <w:p w:rsidR="00000000" w:rsidRPr="00B22B4B" w:rsidP="00B22B4B">
      <w:pPr>
        <w:pStyle w:val="Heading1"/>
      </w:pPr>
      <w:bookmarkStart w:id="7" w:name="O_903076"/>
      <w:bookmarkEnd w:id="7"/>
      <w:r w:rsidRPr="00B22B4B">
        <w:t>Foundation Skills</w:t>
      </w:r>
    </w:p>
    <w:p w:rsidR="00000000" w:rsidRPr="00B22B4B" w:rsidP="00B22B4B">
      <w:pPr>
        <w:pStyle w:val="BodyText"/>
      </w:pPr>
      <w:r w:rsidRPr="00B22B4B">
        <w:t>This section describes those language, literacy, numeracy and employment skills that are essential to performance.</w:t>
      </w:r>
    </w:p>
    <w:p w:rsidR="00000000" w:rsidRPr="00B22B4B" w:rsidP="00B22B4B">
      <w:pPr>
        <w:pStyle w:val="BodyText"/>
      </w:pPr>
    </w:p>
    <w:p w:rsidR="00000000" w:rsidRPr="00B22B4B" w:rsidP="00B22B4B">
      <w:pPr>
        <w:pStyle w:val="BodyText"/>
      </w:pPr>
      <w:r w:rsidRPr="00B22B4B">
        <w:t>Foundation skills essential to performance are explicit in the performance criteria of this unit of competency.</w:t>
      </w:r>
    </w:p>
    <w:p w:rsidR="00000000" w:rsidRPr="00B22B4B" w:rsidP="00B22B4B">
      <w:pPr>
        <w:pStyle w:val="AllowPageBreak"/>
      </w:pPr>
    </w:p>
    <w:p w:rsidR="00000000" w:rsidRPr="00B22B4B" w:rsidP="00B22B4B">
      <w:pPr>
        <w:pStyle w:val="Heading1"/>
      </w:pPr>
      <w:bookmarkStart w:id="8" w:name="O_903075"/>
      <w:bookmarkEnd w:id="8"/>
      <w:r w:rsidRPr="00B22B4B">
        <w:t>Range of Conditions</w:t>
      </w:r>
    </w:p>
    <w:tbl>
      <w:tblPr>
        <w:tblW w:w="0" w:type="auto"/>
        <w:tblCellMar>
          <w:left w:w="62" w:type="dxa"/>
          <w:right w:w="62" w:type="dxa"/>
        </w:tblCellMar>
        <w:tblLook w:val="0000"/>
      </w:tblPr>
      <w:tblGrid>
        <w:gridCol w:w="2163"/>
        <w:gridCol w:w="7033"/>
      </w:tblGrid>
      <w:tr w:rsidTr="00ED49FE">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B22B4B">
            <w:pPr>
              <w:pStyle w:val="BodyText"/>
              <w:rPr>
                <w:lang w:val="en-NZ"/>
              </w:rPr>
            </w:pPr>
            <w:r w:rsidRPr="00B22B4B">
              <w:t>This field allows for different work environments and conditions that may affect performance. Essential operating conditions that may be present (depending on the work situation, needs of the candidate, accessibility of the item,</w:t>
            </w:r>
            <w:r w:rsidRPr="00B22B4B">
              <w:t xml:space="preserve"> and local industry and regional contexts) are included.</w:t>
            </w:r>
          </w:p>
        </w:tc>
      </w:tr>
      <w:tr w:rsidTr="00ED49F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22B4B">
            <w:pPr>
              <w:pStyle w:val="BodyText"/>
              <w:rPr>
                <w:lang w:val="en-NZ"/>
              </w:rPr>
            </w:pPr>
            <w:r w:rsidRPr="00B22B4B">
              <w:rPr>
                <w:rStyle w:val="SpecialBold"/>
              </w:rPr>
              <w:t xml:space="preserve">Standards, codes, procedures and/or workplace requirements </w:t>
            </w:r>
          </w:p>
        </w:tc>
        <w:tc>
          <w:tcPr>
            <w:tcW w:w="0" w:type="auto"/>
            <w:tcBorders>
              <w:top w:val="nil"/>
              <w:left w:val="nil"/>
              <w:bottom w:val="nil"/>
              <w:right w:val="nil"/>
            </w:tcBorders>
            <w:tcMar>
              <w:top w:w="0" w:type="dxa"/>
              <w:left w:w="62" w:type="dxa"/>
              <w:bottom w:w="0" w:type="dxa"/>
              <w:right w:w="62" w:type="dxa"/>
            </w:tcMar>
          </w:tcPr>
          <w:p w:rsidR="00000000" w:rsidRPr="00B22B4B" w:rsidP="00B22B4B">
            <w:pPr>
              <w:pStyle w:val="BodyText"/>
            </w:pPr>
            <w:r w:rsidRPr="00B22B4B">
              <w:t>Standards, codes, procedures and/or workplace requirements include the latest version of one or more of:</w:t>
            </w:r>
          </w:p>
          <w:p w:rsidR="00000000" w:rsidRPr="00B22B4B" w:rsidP="00B22B4B">
            <w:pPr>
              <w:pStyle w:val="ListBullet"/>
            </w:pPr>
            <w:r w:rsidRPr="00B22B4B">
              <w:t>Australian and international st</w:t>
            </w:r>
            <w:r w:rsidRPr="00B22B4B">
              <w:t>andards covering the requirements for the laboratory safety; quality and environmental management; and labelling, storage, handling and transport of hazardous materials</w:t>
            </w:r>
          </w:p>
          <w:p w:rsidR="00000000" w:rsidRPr="00B22B4B" w:rsidP="00B22B4B">
            <w:pPr>
              <w:pStyle w:val="ListBullet"/>
            </w:pPr>
            <w:r w:rsidRPr="00B22B4B">
              <w:t>national work health and (WHS) standards and codes of practice</w:t>
            </w:r>
          </w:p>
          <w:p w:rsidR="00000000" w:rsidRPr="00B22B4B" w:rsidP="00B22B4B">
            <w:pPr>
              <w:pStyle w:val="ListBullet"/>
            </w:pPr>
            <w:r w:rsidRPr="00B22B4B">
              <w:t>specific codes, guidelines and procedures, such as principles of good laboratory practice (GLP)</w:t>
            </w:r>
          </w:p>
          <w:p w:rsidR="00000000" w:rsidRPr="00B22B4B" w:rsidP="00B22B4B">
            <w:pPr>
              <w:pStyle w:val="ListBullet"/>
            </w:pPr>
            <w:r w:rsidRPr="00B22B4B">
              <w:t>workplace documents, such as standard operating procedures (SOPs); quality and equipment manuals; maintenance schedules; material safety data sheets (MSDS); saf</w:t>
            </w:r>
            <w:r w:rsidRPr="00B22B4B">
              <w:t>ety procedures; material, production and product specifications; production and laboratory schedules; workplace recording and reporting procedures; and waste minimisation and safe disposal procedures</w:t>
            </w:r>
          </w:p>
          <w:p w:rsidR="00000000" w:rsidP="00B22B4B">
            <w:pPr>
              <w:pStyle w:val="BodyText"/>
              <w:rPr>
                <w:lang w:val="en-NZ"/>
              </w:rPr>
            </w:pPr>
          </w:p>
        </w:tc>
      </w:tr>
      <w:tr w:rsidTr="00ED49F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22B4B">
            <w:pPr>
              <w:pStyle w:val="BodyText"/>
              <w:rPr>
                <w:lang w:val="en-NZ"/>
              </w:rPr>
            </w:pPr>
            <w:r w:rsidRPr="00B22B4B">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B22B4B" w:rsidP="00B22B4B">
            <w:pPr>
              <w:pStyle w:val="BodyText"/>
            </w:pPr>
            <w:r w:rsidRPr="00B22B4B">
              <w:t>Hazards include, but are not limited to, one o</w:t>
            </w:r>
            <w:r w:rsidRPr="00B22B4B">
              <w:t>r more of:</w:t>
            </w:r>
          </w:p>
          <w:p w:rsidR="00000000" w:rsidRPr="00B22B4B" w:rsidP="00B22B4B">
            <w:pPr>
              <w:pStyle w:val="ListBullet"/>
            </w:pPr>
            <w:r w:rsidRPr="00B22B4B">
              <w:t>glass dust</w:t>
            </w:r>
          </w:p>
          <w:p w:rsidR="00000000" w:rsidRPr="00B22B4B" w:rsidP="00B22B4B">
            <w:pPr>
              <w:pStyle w:val="ListBullet"/>
            </w:pPr>
            <w:r w:rsidRPr="00B22B4B">
              <w:t>sharps and broken glassware</w:t>
            </w:r>
          </w:p>
          <w:p w:rsidR="00000000" w:rsidRPr="00B22B4B" w:rsidP="00B22B4B">
            <w:pPr>
              <w:pStyle w:val="ListBullet"/>
            </w:pPr>
            <w:r w:rsidRPr="00B22B4B">
              <w:t>residues on used glassware, such as mercury</w:t>
            </w:r>
          </w:p>
          <w:p w:rsidR="00000000" w:rsidRPr="00B22B4B" w:rsidP="00B22B4B">
            <w:pPr>
              <w:pStyle w:val="ListBullet"/>
            </w:pPr>
            <w:r w:rsidRPr="00B22B4B">
              <w:t>heat sources, such as burners and ovens</w:t>
            </w:r>
          </w:p>
          <w:p w:rsidR="00000000" w:rsidRPr="00B22B4B" w:rsidP="00B22B4B">
            <w:pPr>
              <w:pStyle w:val="ListBullet"/>
            </w:pPr>
            <w:r w:rsidRPr="00B22B4B">
              <w:t>fluids under pressure (acetylene and oxygen)</w:t>
            </w:r>
          </w:p>
          <w:p w:rsidR="00000000" w:rsidRPr="00B22B4B" w:rsidP="00B22B4B">
            <w:pPr>
              <w:pStyle w:val="ListBullet"/>
            </w:pPr>
            <w:r w:rsidRPr="00B22B4B">
              <w:t>cuts associated with glass grinders and cutters</w:t>
            </w:r>
          </w:p>
          <w:p w:rsidR="00000000" w:rsidRPr="00B22B4B" w:rsidP="00B22B4B">
            <w:pPr>
              <w:pStyle w:val="ListBullet"/>
            </w:pPr>
            <w:r w:rsidRPr="00B22B4B">
              <w:t>manual handling of heavy bag</w:t>
            </w:r>
            <w:r w:rsidRPr="00B22B4B">
              <w:t>s, containers and equipment</w:t>
            </w:r>
          </w:p>
          <w:p w:rsidR="00000000" w:rsidP="00B22B4B">
            <w:pPr>
              <w:pStyle w:val="BodyText"/>
              <w:rPr>
                <w:lang w:val="en-NZ"/>
              </w:rPr>
            </w:pPr>
          </w:p>
        </w:tc>
      </w:tr>
      <w:tr w:rsidTr="00ED49F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22B4B">
            <w:pPr>
              <w:pStyle w:val="BodyText"/>
              <w:rPr>
                <w:lang w:val="en-NZ"/>
              </w:rPr>
            </w:pPr>
            <w:r w:rsidRPr="00B22B4B">
              <w:rPr>
                <w:rStyle w:val="SpecialBold"/>
              </w:rPr>
              <w:t>Safety procedures</w:t>
            </w:r>
          </w:p>
        </w:tc>
        <w:tc>
          <w:tcPr>
            <w:tcW w:w="0" w:type="auto"/>
            <w:tcBorders>
              <w:top w:val="nil"/>
              <w:left w:val="nil"/>
              <w:bottom w:val="nil"/>
              <w:right w:val="nil"/>
            </w:tcBorders>
            <w:tcMar>
              <w:top w:w="0" w:type="dxa"/>
              <w:left w:w="62" w:type="dxa"/>
              <w:bottom w:w="0" w:type="dxa"/>
              <w:right w:w="62" w:type="dxa"/>
            </w:tcMar>
          </w:tcPr>
          <w:p w:rsidR="00000000" w:rsidRPr="00B22B4B" w:rsidP="00B22B4B">
            <w:pPr>
              <w:pStyle w:val="BodyText"/>
            </w:pPr>
            <w:r w:rsidRPr="00B22B4B">
              <w:t>Safety procedures include, but are not limited to, one or more of:</w:t>
            </w:r>
          </w:p>
          <w:p w:rsidR="00000000" w:rsidRPr="00B22B4B" w:rsidP="00B22B4B">
            <w:pPr>
              <w:pStyle w:val="ListBullet"/>
            </w:pPr>
            <w:r w:rsidRPr="00B22B4B">
              <w:t>ensuring access to service shut-off points</w:t>
            </w:r>
          </w:p>
          <w:p w:rsidR="00000000" w:rsidRPr="00B22B4B" w:rsidP="00B22B4B">
            <w:pPr>
              <w:pStyle w:val="ListBullet"/>
            </w:pPr>
            <w:r w:rsidRPr="00B22B4B">
              <w:t>recognising and observing hazard warnings and safety signs</w:t>
            </w:r>
          </w:p>
          <w:p w:rsidR="00000000" w:rsidRPr="00B22B4B" w:rsidP="00B22B4B">
            <w:pPr>
              <w:pStyle w:val="ListBullet"/>
            </w:pPr>
            <w:r w:rsidRPr="00B22B4B">
              <w:t>correct labelling of samp</w:t>
            </w:r>
            <w:r w:rsidRPr="00B22B4B">
              <w:t>les and hazardous materials</w:t>
            </w:r>
          </w:p>
          <w:p w:rsidR="00000000" w:rsidRPr="00B22B4B" w:rsidP="00B22B4B">
            <w:pPr>
              <w:pStyle w:val="ListBullet"/>
            </w:pPr>
            <w:r w:rsidRPr="00B22B4B">
              <w:t>extracting dust</w:t>
            </w:r>
          </w:p>
          <w:p w:rsidR="00000000" w:rsidRPr="00B22B4B" w:rsidP="00B22B4B">
            <w:pPr>
              <w:pStyle w:val="ListBullet"/>
            </w:pPr>
            <w:r w:rsidRPr="00B22B4B">
              <w:t>following established manual handling procedures</w:t>
            </w:r>
          </w:p>
          <w:p w:rsidR="00000000" w:rsidRPr="00B22B4B" w:rsidP="00B22B4B">
            <w:pPr>
              <w:pStyle w:val="ListBullet"/>
            </w:pPr>
            <w:r w:rsidRPr="00B22B4B">
              <w:t>handling and storing hazardous materials and equipment in accordance with labels, MSDS, manufacturer instructions, and workplace procedures and regulations</w:t>
            </w:r>
          </w:p>
          <w:p w:rsidR="00000000" w:rsidRPr="00B22B4B" w:rsidP="00B22B4B">
            <w:pPr>
              <w:pStyle w:val="ListBullet"/>
            </w:pPr>
            <w:r w:rsidRPr="00B22B4B">
              <w:t>regular</w:t>
            </w:r>
            <w:r w:rsidRPr="00B22B4B">
              <w:t xml:space="preserve"> cleaning and/or decontamination of equipment and work areas</w:t>
            </w:r>
          </w:p>
          <w:p w:rsidR="00000000" w:rsidRPr="00B22B4B" w:rsidP="00B22B4B">
            <w:pPr>
              <w:pStyle w:val="ListBullet"/>
            </w:pPr>
            <w:r w:rsidRPr="00B22B4B">
              <w:t>using PPE, such as heat resistant gloves, safety glasses, goggles, face guards, coveralls, respirators and safety boots</w:t>
            </w:r>
          </w:p>
          <w:p w:rsidR="00000000" w:rsidP="00B22B4B">
            <w:pPr>
              <w:pStyle w:val="BodyText"/>
              <w:rPr>
                <w:lang w:val="en-NZ"/>
              </w:rPr>
            </w:pPr>
          </w:p>
        </w:tc>
      </w:tr>
      <w:tr w:rsidTr="00ED49F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22B4B">
            <w:pPr>
              <w:pStyle w:val="BodyText"/>
              <w:rPr>
                <w:lang w:val="en-NZ"/>
              </w:rPr>
            </w:pPr>
            <w:r w:rsidRPr="00B22B4B">
              <w:rPr>
                <w:rStyle w:val="SpecialBold"/>
              </w:rPr>
              <w:t xml:space="preserve">WHS and environmental management requirements </w:t>
            </w:r>
          </w:p>
        </w:tc>
        <w:tc>
          <w:tcPr>
            <w:tcW w:w="0" w:type="auto"/>
            <w:tcBorders>
              <w:top w:val="nil"/>
              <w:left w:val="nil"/>
              <w:bottom w:val="nil"/>
              <w:right w:val="nil"/>
            </w:tcBorders>
            <w:tcMar>
              <w:top w:w="0" w:type="dxa"/>
              <w:left w:w="62" w:type="dxa"/>
              <w:bottom w:w="0" w:type="dxa"/>
              <w:right w:w="62" w:type="dxa"/>
            </w:tcMar>
          </w:tcPr>
          <w:p w:rsidR="00000000" w:rsidRPr="00B22B4B" w:rsidP="00B22B4B">
            <w:pPr>
              <w:pStyle w:val="BodyText"/>
            </w:pPr>
            <w:r w:rsidRPr="00B22B4B">
              <w:t>WHS and environmental mana</w:t>
            </w:r>
            <w:r w:rsidRPr="00B22B4B">
              <w:t>gement requirements include:</w:t>
            </w:r>
          </w:p>
          <w:p w:rsidR="00000000" w:rsidRPr="00B22B4B" w:rsidP="00B22B4B">
            <w:pPr>
              <w:pStyle w:val="BodyText"/>
            </w:pPr>
            <w:r w:rsidRPr="00B22B4B">
              <w:rPr>
                <w:rStyle w:val="Symbols"/>
              </w:rPr>
              <w:t></w:t>
            </w:r>
            <w:r w:rsidRPr="00B22B4B">
              <w:rPr>
                <w:rStyle w:val="Symbols"/>
              </w:rPr>
              <w:tab/>
            </w:r>
            <w:r w:rsidRPr="00B22B4B">
              <w:t>complying with WHS and environmental management requirements at all times, which may be imposed through state/territory or federal legislation. These requirements must not be compromised at any time</w:t>
            </w:r>
          </w:p>
          <w:p w:rsidR="00000000" w:rsidRPr="00B22B4B" w:rsidP="00B22B4B">
            <w:pPr>
              <w:pStyle w:val="BodyText"/>
            </w:pPr>
            <w:r w:rsidRPr="00B22B4B">
              <w:rPr>
                <w:rStyle w:val="Symbols"/>
              </w:rPr>
              <w:t></w:t>
            </w:r>
            <w:r w:rsidRPr="00B22B4B">
              <w:rPr>
                <w:rStyle w:val="Symbols"/>
              </w:rPr>
              <w:tab/>
            </w:r>
            <w:r w:rsidRPr="00B22B4B">
              <w:t>applying standard precautions relating to the potentially hazardous nature of samples</w:t>
            </w:r>
          </w:p>
          <w:p w:rsidR="00000000" w:rsidRPr="00B22B4B" w:rsidP="00B22B4B">
            <w:pPr>
              <w:pStyle w:val="ListBullet"/>
            </w:pPr>
            <w:r w:rsidRPr="00B22B4B">
              <w:t>accessing and applying current industry understanding of infection control issued by the National Health and Medical Research Council (NHMRC) and State and Territory Dep</w:t>
            </w:r>
            <w:r w:rsidRPr="00B22B4B">
              <w:t>artments of Health, where relevant</w:t>
            </w:r>
          </w:p>
        </w:tc>
      </w:tr>
    </w:tbl>
    <w:p w:rsidR="00000000" w:rsidRPr="00B22B4B" w:rsidP="00B22B4B">
      <w:pPr>
        <w:pStyle w:val="BodyText"/>
      </w:pPr>
    </w:p>
    <w:p w:rsidR="00000000" w:rsidRPr="00B22B4B" w:rsidP="00B22B4B">
      <w:pPr>
        <w:pStyle w:val="AllowPageBreak"/>
      </w:pPr>
    </w:p>
    <w:p w:rsidR="00000000" w:rsidRPr="00B22B4B" w:rsidP="00B22B4B">
      <w:pPr>
        <w:pStyle w:val="Heading1"/>
      </w:pPr>
      <w:bookmarkStart w:id="9" w:name="O_903074"/>
      <w:bookmarkEnd w:id="9"/>
      <w:r w:rsidRPr="00B22B4B">
        <w:t>Unit Mapping Information</w:t>
      </w:r>
    </w:p>
    <w:p w:rsidR="00000000" w:rsidRPr="00B22B4B" w:rsidP="00B22B4B">
      <w:pPr>
        <w:pStyle w:val="BodyText"/>
      </w:pPr>
      <w:r w:rsidRPr="00B22B4B">
        <w:t>Release 1. Supersedes and is equivalent to MSL965003A Construct, modify and maintain high vacuum systems</w:t>
      </w:r>
    </w:p>
    <w:p w:rsidR="00000000" w:rsidRPr="00B22B4B" w:rsidP="00B22B4B">
      <w:pPr>
        <w:pStyle w:val="AllowPageBreak"/>
      </w:pPr>
    </w:p>
    <w:p w:rsidR="00000000" w:rsidRPr="00B22B4B" w:rsidP="00B22B4B">
      <w:pPr>
        <w:pStyle w:val="Heading1"/>
      </w:pPr>
      <w:bookmarkStart w:id="10" w:name="O_903067"/>
      <w:bookmarkEnd w:id="10"/>
      <w:r w:rsidRPr="00B22B4B">
        <w:t>Links</w:t>
      </w:r>
    </w:p>
    <w:p w:rsidR="00000000" w:rsidRPr="00B22B4B" w:rsidP="00B22B4B">
      <w:pPr>
        <w:pStyle w:val="BodyText"/>
      </w:pPr>
      <w:r w:rsidRPr="00B22B4B">
        <w:t>MSA Training Package Implementation Guides - http://mskills.org.au/training-packages/info/</w:t>
      </w:r>
    </w:p>
    <w:p w:rsidR="00000000" w:rsidRPr="00B22B4B" w:rsidP="00B22B4B"/>
    <w:sectPr w:rsidSect="00B22B4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B4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B4B" w:rsidRPr="00ED49FE" w:rsidP="00ED49F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B4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49FE" w:rsidP="00B22B4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ED49FE" w:rsidP="00B22B4B">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ED49FE" w:rsidP="00B22B4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B4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B4B" w:rsidRPr="00ED49FE" w:rsidP="00ED49F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B4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49FE" w:rsidRPr="002D2AF8" w:rsidP="00B22B4B">
    <w:pPr>
      <w:pStyle w:val="Header"/>
      <w:framePr w:wrap="around"/>
    </w:pPr>
    <w:r>
      <w:fldChar w:fldCharType="begin"/>
    </w:r>
    <w:r>
      <w:instrText xml:space="preserve"> TITLE   \* MERGEFORMAT </w:instrText>
    </w:r>
    <w:r>
      <w:fldChar w:fldCharType="separate"/>
    </w:r>
    <w:r>
      <w:t>MSL965003 Construct, modify and maintain high vacuum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2016</w:t>
    </w:r>
    <w:r>
      <w:fldChar w:fldCharType="end"/>
    </w:r>
  </w:p>
  <w:p w:rsidR="00ED49FE" w:rsidP="00B22B4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838F51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CC0988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2B4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22B4B"/>
    <w:pPr>
      <w:spacing w:before="360" w:after="60"/>
      <w:outlineLvl w:val="0"/>
    </w:pPr>
    <w:rPr>
      <w:sz w:val="32"/>
    </w:rPr>
  </w:style>
  <w:style w:type="paragraph" w:styleId="Heading2">
    <w:name w:val="heading 2"/>
    <w:basedOn w:val="HeadingBase"/>
    <w:next w:val="BodyText"/>
    <w:link w:val="Heading2Char"/>
    <w:qFormat/>
    <w:rsid w:val="00B22B4B"/>
    <w:pPr>
      <w:keepLines/>
      <w:spacing w:before="240" w:after="120"/>
      <w:outlineLvl w:val="1"/>
    </w:pPr>
    <w:rPr>
      <w:sz w:val="28"/>
      <w:szCs w:val="40"/>
    </w:rPr>
  </w:style>
  <w:style w:type="paragraph" w:styleId="Heading3">
    <w:name w:val="heading 3"/>
    <w:basedOn w:val="HeadingBase"/>
    <w:next w:val="BodyText"/>
    <w:link w:val="Heading3Char"/>
    <w:qFormat/>
    <w:rsid w:val="00B22B4B"/>
    <w:pPr>
      <w:spacing w:before="180" w:after="120"/>
      <w:outlineLvl w:val="2"/>
    </w:pPr>
    <w:rPr>
      <w:spacing w:val="-10"/>
      <w:kern w:val="32"/>
    </w:rPr>
  </w:style>
  <w:style w:type="paragraph" w:styleId="Heading4">
    <w:name w:val="heading 4"/>
    <w:basedOn w:val="HeadingBase"/>
    <w:next w:val="BodyText"/>
    <w:link w:val="Heading4Char"/>
    <w:qFormat/>
    <w:rsid w:val="00B22B4B"/>
    <w:pPr>
      <w:spacing w:before="160" w:after="120"/>
      <w:outlineLvl w:val="3"/>
    </w:pPr>
    <w:rPr>
      <w:sz w:val="22"/>
    </w:rPr>
  </w:style>
  <w:style w:type="paragraph" w:styleId="Heading5">
    <w:name w:val="heading 5"/>
    <w:basedOn w:val="HeadingBase"/>
    <w:next w:val="Normal"/>
    <w:link w:val="Heading5Char"/>
    <w:qFormat/>
    <w:rsid w:val="00B22B4B"/>
    <w:pPr>
      <w:spacing w:before="80"/>
      <w:outlineLvl w:val="4"/>
    </w:pPr>
    <w:rPr>
      <w:color w:val="918585"/>
      <w:sz w:val="20"/>
    </w:rPr>
  </w:style>
  <w:style w:type="paragraph" w:styleId="Heading6">
    <w:name w:val="heading 6"/>
    <w:basedOn w:val="HeadingBase"/>
    <w:next w:val="Normal"/>
    <w:link w:val="Heading6Char"/>
    <w:qFormat/>
    <w:rsid w:val="00B22B4B"/>
    <w:pPr>
      <w:spacing w:before="60"/>
      <w:outlineLvl w:val="5"/>
    </w:pPr>
    <w:rPr>
      <w:color w:val="918585"/>
      <w:sz w:val="20"/>
    </w:rPr>
  </w:style>
  <w:style w:type="paragraph" w:styleId="Heading7">
    <w:name w:val="heading 7"/>
    <w:basedOn w:val="Normal"/>
    <w:next w:val="Normal"/>
    <w:link w:val="Heading7Char"/>
    <w:qFormat/>
    <w:rsid w:val="00B22B4B"/>
    <w:pPr>
      <w:ind w:left="720"/>
      <w:outlineLvl w:val="6"/>
    </w:pPr>
    <w:rPr>
      <w:i/>
    </w:rPr>
  </w:style>
  <w:style w:type="paragraph" w:styleId="Heading8">
    <w:name w:val="heading 8"/>
    <w:basedOn w:val="Normal"/>
    <w:next w:val="Normal"/>
    <w:link w:val="Heading8Char"/>
    <w:qFormat/>
    <w:rsid w:val="00B22B4B"/>
    <w:pPr>
      <w:ind w:left="720"/>
      <w:outlineLvl w:val="7"/>
    </w:pPr>
    <w:rPr>
      <w:i/>
    </w:rPr>
  </w:style>
  <w:style w:type="paragraph" w:styleId="Heading9">
    <w:name w:val="heading 9"/>
    <w:basedOn w:val="Normal"/>
    <w:next w:val="Normal"/>
    <w:link w:val="Heading9Char"/>
    <w:qFormat/>
    <w:rsid w:val="00B22B4B"/>
    <w:pPr>
      <w:ind w:left="720"/>
      <w:outlineLvl w:val="8"/>
    </w:pPr>
    <w:rPr>
      <w:i/>
    </w:rPr>
  </w:style>
  <w:style w:type="character" w:default="1" w:styleId="DefaultParagraphFont">
    <w:name w:val="Default Paragraph Font"/>
    <w:uiPriority w:val="1"/>
    <w:unhideWhenUsed/>
    <w:rsid w:val="00B22B4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22B4B"/>
  </w:style>
  <w:style w:type="character" w:customStyle="1" w:styleId="Heading1Char">
    <w:name w:val="Heading 1 Char"/>
    <w:basedOn w:val="DefaultParagraphFont"/>
    <w:link w:val="Heading1"/>
    <w:rsid w:val="00B22B4B"/>
    <w:rPr>
      <w:rFonts w:ascii="Times New Roman" w:eastAsia="Times New Roman" w:hAnsi="Times New Roman" w:cs="Times New Roman"/>
      <w:b/>
      <w:sz w:val="32"/>
      <w:szCs w:val="20"/>
      <w:lang w:eastAsia="en-US"/>
    </w:rPr>
  </w:style>
  <w:style w:type="paragraph" w:styleId="BodyText">
    <w:name w:val="Body Text"/>
    <w:basedOn w:val="Normal"/>
    <w:link w:val="BodyTextChar"/>
    <w:rsid w:val="00B22B4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22B4B"/>
    <w:rPr>
      <w:rFonts w:ascii="Times New Roman" w:eastAsia="Times New Roman" w:hAnsi="Times New Roman" w:cs="Times New Roman"/>
      <w:sz w:val="24"/>
      <w:lang w:eastAsia="en-US"/>
    </w:rPr>
  </w:style>
  <w:style w:type="paragraph" w:styleId="ListBullet">
    <w:name w:val="List Bullet"/>
    <w:basedOn w:val="List"/>
    <w:rsid w:val="00B22B4B"/>
    <w:pPr>
      <w:numPr>
        <w:numId w:val="12"/>
      </w:numPr>
      <w:tabs>
        <w:tab w:val="clear" w:pos="340"/>
      </w:tabs>
      <w:spacing w:before="40" w:after="40"/>
    </w:pPr>
  </w:style>
  <w:style w:type="character" w:customStyle="1" w:styleId="SpecialBold">
    <w:name w:val="Special Bold"/>
    <w:basedOn w:val="DefaultParagraphFont"/>
    <w:rsid w:val="00B22B4B"/>
    <w:rPr>
      <w:b/>
      <w:spacing w:val="0"/>
    </w:rPr>
  </w:style>
  <w:style w:type="paragraph" w:customStyle="1" w:styleId="SuperHeading">
    <w:name w:val="SuperHeading"/>
    <w:basedOn w:val="Normal"/>
    <w:rsid w:val="00B22B4B"/>
    <w:pPr>
      <w:spacing w:before="240" w:after="120"/>
      <w:outlineLvl w:val="0"/>
    </w:pPr>
    <w:rPr>
      <w:rFonts w:ascii="Times New Roman" w:hAnsi="Times New Roman"/>
      <w:b/>
      <w:sz w:val="32"/>
    </w:rPr>
  </w:style>
  <w:style w:type="paragraph" w:customStyle="1" w:styleId="AllowPageBreak">
    <w:name w:val="AllowPageBreak"/>
    <w:rsid w:val="00B22B4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ymbols">
    <w:name w:val="Symbols"/>
    <w:basedOn w:val="DefaultParagraphFont"/>
    <w:rsid w:val="00B22B4B"/>
    <w:rPr>
      <w:rFonts w:ascii="Symbol" w:hAnsi="Symbol"/>
    </w:rPr>
  </w:style>
  <w:style w:type="character" w:customStyle="1" w:styleId="Heading2Char">
    <w:name w:val="Heading 2 Char"/>
    <w:basedOn w:val="DefaultParagraphFont"/>
    <w:link w:val="Heading2"/>
    <w:rsid w:val="00B22B4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22B4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22B4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22B4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22B4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22B4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22B4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22B4B"/>
    <w:rPr>
      <w:rFonts w:ascii="Courier New" w:eastAsia="Times New Roman" w:hAnsi="Courier New" w:cs="Times New Roman"/>
      <w:i/>
      <w:szCs w:val="20"/>
      <w:lang w:eastAsia="en-US"/>
    </w:rPr>
  </w:style>
  <w:style w:type="paragraph" w:customStyle="1" w:styleId="HeadingBase">
    <w:name w:val="Heading Base"/>
    <w:rsid w:val="00B22B4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22B4B"/>
    <w:pPr>
      <w:tabs>
        <w:tab w:val="right" w:leader="dot" w:pos="9072"/>
      </w:tabs>
      <w:ind w:left="567"/>
    </w:pPr>
    <w:rPr>
      <w:szCs w:val="22"/>
    </w:rPr>
  </w:style>
  <w:style w:type="paragraph" w:customStyle="1" w:styleId="TOCBase">
    <w:name w:val="TOC Base"/>
    <w:rsid w:val="00B22B4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22B4B"/>
    <w:pPr>
      <w:tabs>
        <w:tab w:val="right" w:leader="dot" w:pos="9072"/>
      </w:tabs>
      <w:spacing w:before="40" w:after="40"/>
      <w:ind w:left="284"/>
    </w:pPr>
    <w:rPr>
      <w:rFonts w:ascii="Times New Roman" w:hAnsi="Times New Roman"/>
    </w:rPr>
  </w:style>
  <w:style w:type="paragraph" w:styleId="TOC1">
    <w:name w:val="toc 1"/>
    <w:basedOn w:val="TOCBase"/>
    <w:next w:val="Normal"/>
    <w:rsid w:val="00B22B4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22B4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22B4B"/>
    <w:rPr>
      <w:rFonts w:ascii="Times New Roman" w:eastAsia="Times New Roman" w:hAnsi="Times New Roman" w:cs="Times New Roman"/>
      <w:sz w:val="16"/>
      <w:lang w:eastAsia="en-US"/>
    </w:rPr>
  </w:style>
  <w:style w:type="paragraph" w:styleId="Title">
    <w:name w:val="Title"/>
    <w:basedOn w:val="HeadingBase"/>
    <w:link w:val="TitleChar"/>
    <w:qFormat/>
    <w:rsid w:val="00B22B4B"/>
    <w:pPr>
      <w:spacing w:before="5040"/>
      <w:jc w:val="center"/>
    </w:pPr>
    <w:rPr>
      <w:sz w:val="48"/>
      <w:szCs w:val="72"/>
      <w:lang w:val="en-US"/>
    </w:rPr>
  </w:style>
  <w:style w:type="character" w:customStyle="1" w:styleId="TitleChar">
    <w:name w:val="Title Char"/>
    <w:basedOn w:val="DefaultParagraphFont"/>
    <w:link w:val="Title"/>
    <w:rsid w:val="00B22B4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22B4B"/>
    <w:pPr>
      <w:tabs>
        <w:tab w:val="left" w:pos="3600"/>
        <w:tab w:val="left" w:pos="3958"/>
      </w:tabs>
    </w:pPr>
  </w:style>
  <w:style w:type="paragraph" w:styleId="List">
    <w:name w:val="List"/>
    <w:basedOn w:val="BodyText"/>
    <w:next w:val="BodyText"/>
    <w:rsid w:val="00B22B4B"/>
    <w:pPr>
      <w:tabs>
        <w:tab w:val="left" w:pos="340"/>
      </w:tabs>
      <w:spacing w:before="60" w:after="60"/>
      <w:ind w:left="340" w:hanging="340"/>
    </w:pPr>
  </w:style>
  <w:style w:type="paragraph" w:customStyle="1" w:styleId="Note">
    <w:name w:val="Note"/>
    <w:basedOn w:val="BodyText"/>
    <w:rsid w:val="00B22B4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22B4B"/>
    <w:pPr>
      <w:framePr w:wrap="auto" w:hAnchor="text" w:y="6049"/>
    </w:pPr>
    <w:rPr>
      <w:color w:val="000000"/>
      <w:sz w:val="40"/>
    </w:rPr>
  </w:style>
  <w:style w:type="paragraph" w:customStyle="1" w:styleId="TOCTitle">
    <w:name w:val="TOCTitle"/>
    <w:basedOn w:val="Heading1"/>
    <w:rsid w:val="00B22B4B"/>
    <w:pPr>
      <w:spacing w:after="240"/>
      <w:jc w:val="center"/>
      <w:outlineLvl w:val="9"/>
    </w:pPr>
    <w:rPr>
      <w:caps/>
    </w:rPr>
  </w:style>
  <w:style w:type="paragraph" w:customStyle="1" w:styleId="Version">
    <w:name w:val="Version"/>
    <w:rsid w:val="00B22B4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22B4B"/>
    <w:pPr>
      <w:numPr>
        <w:numId w:val="13"/>
      </w:numPr>
      <w:tabs>
        <w:tab w:val="clear" w:pos="680"/>
      </w:tabs>
    </w:pPr>
  </w:style>
  <w:style w:type="paragraph" w:styleId="Index1">
    <w:name w:val="index 1"/>
    <w:basedOn w:val="Normal"/>
    <w:next w:val="Normal"/>
    <w:semiHidden/>
    <w:rsid w:val="00B22B4B"/>
    <w:pPr>
      <w:keepNext w:val="0"/>
      <w:tabs>
        <w:tab w:val="right" w:pos="4176"/>
      </w:tabs>
      <w:ind w:left="198" w:hanging="198"/>
    </w:pPr>
    <w:rPr>
      <w:rFonts w:ascii="Garamond" w:hAnsi="Garamond"/>
    </w:rPr>
  </w:style>
  <w:style w:type="paragraph" w:styleId="IndexHeading">
    <w:name w:val="index heading"/>
    <w:basedOn w:val="Normal"/>
    <w:next w:val="Index1"/>
    <w:semiHidden/>
    <w:rsid w:val="00B22B4B"/>
    <w:pPr>
      <w:spacing w:before="120" w:after="120"/>
    </w:pPr>
    <w:rPr>
      <w:rFonts w:ascii="Arial" w:hAnsi="Arial"/>
      <w:b/>
      <w:color w:val="918585"/>
      <w:sz w:val="24"/>
    </w:rPr>
  </w:style>
  <w:style w:type="paragraph" w:styleId="Header">
    <w:name w:val="header"/>
    <w:basedOn w:val="Normal"/>
    <w:link w:val="HeaderChar"/>
    <w:rsid w:val="00B22B4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22B4B"/>
    <w:rPr>
      <w:rFonts w:ascii="Times New Roman" w:eastAsia="Times New Roman" w:hAnsi="Times New Roman" w:cs="Times New Roman"/>
      <w:sz w:val="16"/>
      <w:szCs w:val="20"/>
      <w:lang w:val="en-GB" w:eastAsia="en-US"/>
    </w:rPr>
  </w:style>
  <w:style w:type="paragraph" w:customStyle="1" w:styleId="Chapter">
    <w:name w:val="Chapter"/>
    <w:basedOn w:val="Normal"/>
    <w:rsid w:val="00B22B4B"/>
    <w:pPr>
      <w:spacing w:before="240"/>
    </w:pPr>
    <w:rPr>
      <w:rFonts w:ascii="Times New Roman" w:hAnsi="Times New Roman"/>
      <w:smallCaps/>
      <w:spacing w:val="80"/>
      <w:sz w:val="28"/>
    </w:rPr>
  </w:style>
  <w:style w:type="paragraph" w:customStyle="1" w:styleId="InChapter">
    <w:name w:val="InChapter"/>
    <w:basedOn w:val="Heading3"/>
    <w:rsid w:val="00B22B4B"/>
    <w:pPr>
      <w:spacing w:after="240"/>
      <w:outlineLvl w:val="9"/>
    </w:pPr>
    <w:rPr>
      <w:noProof/>
    </w:rPr>
  </w:style>
  <w:style w:type="paragraph" w:styleId="Index2">
    <w:name w:val="index 2"/>
    <w:basedOn w:val="Normal"/>
    <w:next w:val="Normal"/>
    <w:semiHidden/>
    <w:rsid w:val="00B22B4B"/>
    <w:pPr>
      <w:tabs>
        <w:tab w:val="right" w:pos="4176"/>
      </w:tabs>
      <w:ind w:left="568" w:hanging="284"/>
    </w:pPr>
    <w:rPr>
      <w:rFonts w:ascii="Garamond" w:hAnsi="Garamond"/>
    </w:rPr>
  </w:style>
  <w:style w:type="paragraph" w:customStyle="1" w:styleId="Byline">
    <w:name w:val="Byline"/>
    <w:rsid w:val="00B22B4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22B4B"/>
    <w:pPr>
      <w:tabs>
        <w:tab w:val="clear" w:pos="3600"/>
        <w:tab w:val="clear" w:pos="3958"/>
      </w:tabs>
      <w:jc w:val="right"/>
    </w:pPr>
  </w:style>
  <w:style w:type="character" w:styleId="Emphasis">
    <w:name w:val="Emphasis"/>
    <w:basedOn w:val="DefaultParagraphFont"/>
    <w:qFormat/>
    <w:rsid w:val="00B22B4B"/>
    <w:rPr>
      <w:i/>
    </w:rPr>
  </w:style>
  <w:style w:type="paragraph" w:styleId="Caption">
    <w:name w:val="caption"/>
    <w:basedOn w:val="BodyText"/>
    <w:next w:val="Normal"/>
    <w:qFormat/>
    <w:rsid w:val="00B22B4B"/>
    <w:pPr>
      <w:framePr w:w="2268" w:hSpace="181" w:vSpace="181" w:wrap="around" w:vAnchor="text" w:hAnchor="page" w:x="1135" w:y="285" w:anchorLock="1"/>
    </w:pPr>
    <w:rPr>
      <w:i/>
    </w:rPr>
  </w:style>
  <w:style w:type="paragraph" w:customStyle="1" w:styleId="MiniTOCTitle">
    <w:name w:val="MiniTOCTitle"/>
    <w:basedOn w:val="Heading4"/>
    <w:rsid w:val="00B22B4B"/>
    <w:pPr>
      <w:spacing w:before="240"/>
      <w:outlineLvl w:val="9"/>
    </w:pPr>
    <w:rPr>
      <w:noProof/>
      <w:sz w:val="24"/>
    </w:rPr>
  </w:style>
  <w:style w:type="paragraph" w:customStyle="1" w:styleId="MiniTOCItem">
    <w:name w:val="MiniTOCItem"/>
    <w:basedOn w:val="ListBullet"/>
    <w:rsid w:val="00B22B4B"/>
    <w:pPr>
      <w:numPr>
        <w:numId w:val="0"/>
      </w:numPr>
      <w:tabs>
        <w:tab w:val="right" w:leader="dot" w:pos="6521"/>
      </w:tabs>
      <w:spacing w:before="0" w:after="0"/>
    </w:pPr>
  </w:style>
  <w:style w:type="paragraph" w:customStyle="1" w:styleId="TOFTitle">
    <w:name w:val="TOFTitle"/>
    <w:basedOn w:val="TOCTitle"/>
    <w:rsid w:val="00B22B4B"/>
  </w:style>
  <w:style w:type="paragraph" w:styleId="TableofFigures">
    <w:name w:val="table of figures"/>
    <w:basedOn w:val="Normal"/>
    <w:next w:val="Normal"/>
    <w:semiHidden/>
    <w:rsid w:val="00B22B4B"/>
    <w:pPr>
      <w:tabs>
        <w:tab w:val="right" w:leader="dot" w:pos="9072"/>
      </w:tabs>
      <w:ind w:left="970" w:hanging="403"/>
    </w:pPr>
    <w:rPr>
      <w:rFonts w:ascii="Times New Roman" w:hAnsi="Times New Roman"/>
      <w:b/>
    </w:rPr>
  </w:style>
  <w:style w:type="paragraph" w:styleId="ListNumber">
    <w:name w:val="List Number"/>
    <w:basedOn w:val="List"/>
    <w:rsid w:val="00B22B4B"/>
    <w:pPr>
      <w:numPr>
        <w:numId w:val="10"/>
      </w:numPr>
    </w:pPr>
  </w:style>
  <w:style w:type="character" w:customStyle="1" w:styleId="WingdingSymbols">
    <w:name w:val="Wingding Symbols"/>
    <w:rsid w:val="00B22B4B"/>
    <w:rPr>
      <w:rFonts w:ascii="Wingdings" w:hAnsi="Wingdings"/>
    </w:rPr>
  </w:style>
  <w:style w:type="paragraph" w:customStyle="1" w:styleId="TableHeading">
    <w:name w:val="Table Heading"/>
    <w:basedOn w:val="HeadingBase"/>
    <w:rsid w:val="00B22B4B"/>
    <w:pPr>
      <w:keepLines/>
      <w:pBdr>
        <w:bottom w:val="single" w:sz="6" w:space="1" w:color="918585"/>
      </w:pBdr>
      <w:spacing w:before="240"/>
    </w:pPr>
  </w:style>
  <w:style w:type="character" w:customStyle="1" w:styleId="HotSpot">
    <w:name w:val="HotSpot"/>
    <w:rsid w:val="00B22B4B"/>
    <w:rPr>
      <w:color w:val="0033CC"/>
      <w:u w:val="none"/>
    </w:rPr>
  </w:style>
  <w:style w:type="paragraph" w:customStyle="1" w:styleId="BodyTextRight">
    <w:name w:val="Body Text Right"/>
    <w:basedOn w:val="BodyText"/>
    <w:rsid w:val="00B22B4B"/>
    <w:pPr>
      <w:spacing w:before="0" w:after="0"/>
      <w:jc w:val="right"/>
    </w:pPr>
  </w:style>
  <w:style w:type="paragraph" w:styleId="Index3">
    <w:name w:val="index 3"/>
    <w:basedOn w:val="ListNumber2"/>
    <w:next w:val="Normal"/>
    <w:semiHidden/>
    <w:rsid w:val="00B22B4B"/>
    <w:pPr>
      <w:numPr>
        <w:numId w:val="0"/>
      </w:numPr>
      <w:tabs>
        <w:tab w:val="right" w:leader="dot" w:pos="4176"/>
      </w:tabs>
    </w:pPr>
  </w:style>
  <w:style w:type="paragraph" w:styleId="ListNumber2">
    <w:name w:val="List Number 2"/>
    <w:basedOn w:val="List2"/>
    <w:rsid w:val="00B22B4B"/>
    <w:pPr>
      <w:numPr>
        <w:numId w:val="9"/>
      </w:numPr>
      <w:tabs>
        <w:tab w:val="clear" w:pos="1060"/>
      </w:tabs>
    </w:pPr>
  </w:style>
  <w:style w:type="paragraph" w:customStyle="1" w:styleId="MarginNote">
    <w:name w:val="Margin Note"/>
    <w:basedOn w:val="BodyText"/>
    <w:rsid w:val="00B22B4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22B4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22B4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22B4B"/>
    <w:rPr>
      <w:sz w:val="32"/>
    </w:rPr>
  </w:style>
  <w:style w:type="paragraph" w:customStyle="1" w:styleId="HeadingProcedure">
    <w:name w:val="Heading Procedure"/>
    <w:basedOn w:val="HeadingBase"/>
    <w:next w:val="Normal"/>
    <w:rsid w:val="00B22B4B"/>
    <w:pPr>
      <w:tabs>
        <w:tab w:val="left" w:pos="0"/>
      </w:tabs>
      <w:spacing w:before="120" w:after="60"/>
    </w:pPr>
    <w:rPr>
      <w:i/>
      <w:color w:val="918585"/>
      <w:sz w:val="22"/>
    </w:rPr>
  </w:style>
  <w:style w:type="paragraph" w:customStyle="1" w:styleId="TableBodyText">
    <w:name w:val="Table Body Text"/>
    <w:basedOn w:val="BodyText"/>
    <w:rsid w:val="00B22B4B"/>
    <w:pPr>
      <w:spacing w:before="60" w:after="60"/>
    </w:pPr>
  </w:style>
  <w:style w:type="paragraph" w:styleId="ListContinue">
    <w:name w:val="List Continue"/>
    <w:basedOn w:val="List"/>
    <w:rsid w:val="00B22B4B"/>
    <w:pPr>
      <w:ind w:firstLine="0"/>
    </w:pPr>
  </w:style>
  <w:style w:type="paragraph" w:customStyle="1" w:styleId="ListNote">
    <w:name w:val="List Note"/>
    <w:basedOn w:val="List"/>
    <w:rsid w:val="00B22B4B"/>
    <w:pPr>
      <w:pBdr>
        <w:top w:val="single" w:sz="6" w:space="2" w:color="918585"/>
        <w:bottom w:val="single" w:sz="6" w:space="2" w:color="918585"/>
      </w:pBdr>
      <w:tabs>
        <w:tab w:val="left" w:pos="1021"/>
      </w:tabs>
      <w:ind w:firstLine="0"/>
    </w:pPr>
  </w:style>
  <w:style w:type="paragraph" w:customStyle="1" w:styleId="Warning">
    <w:name w:val="Warning"/>
    <w:basedOn w:val="BodyText"/>
    <w:rsid w:val="00B22B4B"/>
    <w:pPr>
      <w:shd w:val="clear" w:color="auto" w:fill="D9D9D9"/>
      <w:tabs>
        <w:tab w:val="left" w:pos="992"/>
      </w:tabs>
      <w:ind w:left="119" w:right="119"/>
    </w:pPr>
    <w:rPr>
      <w:sz w:val="20"/>
    </w:rPr>
  </w:style>
  <w:style w:type="paragraph" w:customStyle="1" w:styleId="MarginIcons">
    <w:name w:val="Margin Icons"/>
    <w:basedOn w:val="BodyText"/>
    <w:rsid w:val="00B22B4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22B4B"/>
    <w:rPr>
      <w:rFonts w:ascii="Courier New" w:hAnsi="Courier New"/>
    </w:rPr>
  </w:style>
  <w:style w:type="paragraph" w:customStyle="1" w:styleId="NoteBullet">
    <w:name w:val="Note Bullet"/>
    <w:basedOn w:val="Note"/>
    <w:rsid w:val="00B22B4B"/>
    <w:pPr>
      <w:tabs>
        <w:tab w:val="clear" w:pos="680"/>
      </w:tabs>
      <w:spacing w:before="60" w:after="60"/>
    </w:pPr>
  </w:style>
  <w:style w:type="paragraph" w:customStyle="1" w:styleId="SubHeading2">
    <w:name w:val="SubHeading2"/>
    <w:basedOn w:val="HeadingBase"/>
    <w:rsid w:val="00B22B4B"/>
    <w:pPr>
      <w:spacing w:before="240" w:after="60"/>
    </w:pPr>
    <w:rPr>
      <w:sz w:val="20"/>
    </w:rPr>
  </w:style>
  <w:style w:type="paragraph" w:customStyle="1" w:styleId="SubHeading1">
    <w:name w:val="SubHeading1"/>
    <w:basedOn w:val="HeadingBase"/>
    <w:rsid w:val="00B22B4B"/>
    <w:pPr>
      <w:spacing w:before="240" w:after="60"/>
    </w:pPr>
    <w:rPr>
      <w:color w:val="918585"/>
      <w:sz w:val="22"/>
    </w:rPr>
  </w:style>
  <w:style w:type="paragraph" w:customStyle="1" w:styleId="SideHeading">
    <w:name w:val="Side Heading"/>
    <w:basedOn w:val="HeadingBase"/>
    <w:rsid w:val="00B22B4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22B4B"/>
    <w:pPr>
      <w:tabs>
        <w:tab w:val="num" w:pos="360"/>
      </w:tabs>
    </w:pPr>
  </w:style>
  <w:style w:type="paragraph" w:styleId="PlainText">
    <w:name w:val="Plain Text"/>
    <w:basedOn w:val="Normal"/>
    <w:link w:val="PlainTextChar"/>
    <w:rsid w:val="00B22B4B"/>
    <w:rPr>
      <w:sz w:val="20"/>
    </w:rPr>
  </w:style>
  <w:style w:type="character" w:customStyle="1" w:styleId="PlainTextChar">
    <w:name w:val="Plain Text Char"/>
    <w:basedOn w:val="DefaultParagraphFont"/>
    <w:link w:val="PlainText"/>
    <w:rsid w:val="00B22B4B"/>
    <w:rPr>
      <w:rFonts w:ascii="Courier New" w:eastAsia="Times New Roman" w:hAnsi="Courier New" w:cs="Times New Roman"/>
      <w:sz w:val="20"/>
      <w:szCs w:val="20"/>
      <w:lang w:eastAsia="en-US"/>
    </w:rPr>
  </w:style>
  <w:style w:type="character" w:customStyle="1" w:styleId="MenuOption">
    <w:name w:val="Menu Option"/>
    <w:basedOn w:val="DefaultParagraphFont"/>
    <w:rsid w:val="00B22B4B"/>
    <w:rPr>
      <w:b/>
      <w:smallCaps/>
    </w:rPr>
  </w:style>
  <w:style w:type="paragraph" w:customStyle="1" w:styleId="TableListNumber">
    <w:name w:val="Table List Number"/>
    <w:basedOn w:val="ListNumber"/>
    <w:rsid w:val="00B22B4B"/>
    <w:pPr>
      <w:numPr>
        <w:numId w:val="0"/>
      </w:numPr>
    </w:pPr>
  </w:style>
  <w:style w:type="paragraph" w:styleId="TOC4">
    <w:name w:val="toc 4"/>
    <w:basedOn w:val="TOCBase"/>
    <w:next w:val="Normal"/>
    <w:semiHidden/>
    <w:rsid w:val="00B22B4B"/>
    <w:pPr>
      <w:tabs>
        <w:tab w:val="right" w:leader="dot" w:pos="9071"/>
      </w:tabs>
      <w:ind w:left="1701"/>
    </w:pPr>
  </w:style>
  <w:style w:type="paragraph" w:customStyle="1" w:styleId="ListAlpha">
    <w:name w:val="List Alpha"/>
    <w:basedOn w:val="List"/>
    <w:rsid w:val="00B22B4B"/>
    <w:pPr>
      <w:numPr>
        <w:numId w:val="8"/>
      </w:numPr>
    </w:pPr>
  </w:style>
  <w:style w:type="paragraph" w:customStyle="1" w:styleId="ListAlpha2">
    <w:name w:val="List Alpha 2"/>
    <w:basedOn w:val="List2"/>
    <w:rsid w:val="00B22B4B"/>
    <w:pPr>
      <w:numPr>
        <w:numId w:val="7"/>
      </w:numPr>
    </w:pPr>
  </w:style>
  <w:style w:type="paragraph" w:styleId="List2">
    <w:name w:val="List 2"/>
    <w:basedOn w:val="BodyText"/>
    <w:rsid w:val="00B22B4B"/>
    <w:pPr>
      <w:tabs>
        <w:tab w:val="left" w:pos="680"/>
      </w:tabs>
      <w:spacing w:before="60" w:after="60"/>
      <w:ind w:left="680" w:hanging="340"/>
    </w:pPr>
  </w:style>
  <w:style w:type="paragraph" w:styleId="List3">
    <w:name w:val="List 3"/>
    <w:basedOn w:val="BodyText"/>
    <w:rsid w:val="00B22B4B"/>
    <w:pPr>
      <w:tabs>
        <w:tab w:val="left" w:pos="1021"/>
      </w:tabs>
      <w:spacing w:before="60" w:after="60"/>
      <w:ind w:left="1020" w:hanging="340"/>
    </w:pPr>
  </w:style>
  <w:style w:type="paragraph" w:styleId="List4">
    <w:name w:val="List 4"/>
    <w:basedOn w:val="BodyText"/>
    <w:rsid w:val="00B22B4B"/>
    <w:pPr>
      <w:tabs>
        <w:tab w:val="left" w:pos="1361"/>
      </w:tabs>
      <w:spacing w:before="60" w:after="60"/>
      <w:ind w:left="1361" w:hanging="340"/>
    </w:pPr>
  </w:style>
  <w:style w:type="paragraph" w:styleId="List5">
    <w:name w:val="List 5"/>
    <w:basedOn w:val="BodyText"/>
    <w:rsid w:val="00B22B4B"/>
    <w:pPr>
      <w:tabs>
        <w:tab w:val="left" w:pos="1701"/>
      </w:tabs>
      <w:spacing w:before="60" w:after="60"/>
      <w:ind w:left="1701" w:hanging="340"/>
    </w:pPr>
  </w:style>
  <w:style w:type="paragraph" w:styleId="ListBullet3">
    <w:name w:val="List Bullet 3"/>
    <w:basedOn w:val="List3"/>
    <w:rsid w:val="00B22B4B"/>
    <w:pPr>
      <w:numPr>
        <w:numId w:val="14"/>
      </w:numPr>
      <w:tabs>
        <w:tab w:val="clear" w:pos="1021"/>
      </w:tabs>
      <w:ind w:left="1037" w:hanging="357"/>
    </w:pPr>
  </w:style>
  <w:style w:type="paragraph" w:styleId="ListBullet4">
    <w:name w:val="List Bullet 4"/>
    <w:basedOn w:val="List4"/>
    <w:rsid w:val="00B22B4B"/>
    <w:pPr>
      <w:numPr>
        <w:numId w:val="2"/>
      </w:numPr>
      <w:tabs>
        <w:tab w:val="clear" w:pos="1361"/>
      </w:tabs>
    </w:pPr>
  </w:style>
  <w:style w:type="paragraph" w:styleId="ListBullet5">
    <w:name w:val="List Bullet 5"/>
    <w:basedOn w:val="List5"/>
    <w:rsid w:val="00B22B4B"/>
    <w:pPr>
      <w:numPr>
        <w:numId w:val="3"/>
      </w:numPr>
    </w:pPr>
  </w:style>
  <w:style w:type="paragraph" w:styleId="ListContinue2">
    <w:name w:val="List Continue 2"/>
    <w:basedOn w:val="List2"/>
    <w:rsid w:val="00B22B4B"/>
    <w:pPr>
      <w:ind w:firstLine="0"/>
    </w:pPr>
  </w:style>
  <w:style w:type="paragraph" w:styleId="ListContinue3">
    <w:name w:val="List Continue 3"/>
    <w:basedOn w:val="List3"/>
    <w:rsid w:val="00B22B4B"/>
    <w:pPr>
      <w:ind w:left="1021" w:firstLine="0"/>
    </w:pPr>
  </w:style>
  <w:style w:type="paragraph" w:styleId="ListContinue4">
    <w:name w:val="List Continue 4"/>
    <w:basedOn w:val="List4"/>
    <w:rsid w:val="00B22B4B"/>
    <w:pPr>
      <w:ind w:firstLine="0"/>
    </w:pPr>
  </w:style>
  <w:style w:type="paragraph" w:styleId="ListContinue5">
    <w:name w:val="List Continue 5"/>
    <w:basedOn w:val="List5"/>
    <w:rsid w:val="00B22B4B"/>
    <w:pPr>
      <w:ind w:firstLine="0"/>
    </w:pPr>
  </w:style>
  <w:style w:type="paragraph" w:styleId="ListNumber3">
    <w:name w:val="List Number 3"/>
    <w:basedOn w:val="List3"/>
    <w:rsid w:val="00B22B4B"/>
    <w:pPr>
      <w:numPr>
        <w:numId w:val="4"/>
      </w:numPr>
    </w:pPr>
  </w:style>
  <w:style w:type="paragraph" w:styleId="ListNumber4">
    <w:name w:val="List Number 4"/>
    <w:basedOn w:val="List4"/>
    <w:rsid w:val="00B22B4B"/>
    <w:pPr>
      <w:numPr>
        <w:numId w:val="5"/>
      </w:numPr>
    </w:pPr>
  </w:style>
  <w:style w:type="paragraph" w:styleId="ListNumber5">
    <w:name w:val="List Number 5"/>
    <w:basedOn w:val="List5"/>
    <w:rsid w:val="00B22B4B"/>
    <w:pPr>
      <w:numPr>
        <w:numId w:val="6"/>
      </w:numPr>
    </w:pPr>
  </w:style>
  <w:style w:type="paragraph" w:styleId="BlockText">
    <w:name w:val="Block Text"/>
    <w:basedOn w:val="Normal"/>
    <w:rsid w:val="00B22B4B"/>
    <w:pPr>
      <w:spacing w:after="120"/>
      <w:ind w:left="1440" w:right="1440"/>
    </w:pPr>
  </w:style>
  <w:style w:type="character" w:customStyle="1" w:styleId="Subscript">
    <w:name w:val="Subscript"/>
    <w:basedOn w:val="DefaultParagraphFont"/>
    <w:rsid w:val="00B22B4B"/>
    <w:rPr>
      <w:sz w:val="16"/>
      <w:vertAlign w:val="subscript"/>
    </w:rPr>
  </w:style>
  <w:style w:type="character" w:customStyle="1" w:styleId="Superscript">
    <w:name w:val="Superscript"/>
    <w:basedOn w:val="DefaultParagraphFont"/>
    <w:rsid w:val="00B22B4B"/>
    <w:rPr>
      <w:sz w:val="16"/>
      <w:vertAlign w:val="superscript"/>
    </w:rPr>
  </w:style>
  <w:style w:type="character" w:customStyle="1" w:styleId="MenuOptions">
    <w:name w:val="Menu Options"/>
    <w:basedOn w:val="DefaultParagraphFont"/>
    <w:rsid w:val="00B22B4B"/>
    <w:rPr>
      <w:rFonts w:ascii="Arial Narrow" w:hAnsi="Arial Narrow"/>
      <w:smallCaps/>
    </w:rPr>
  </w:style>
  <w:style w:type="character" w:customStyle="1" w:styleId="Buttons">
    <w:name w:val="Buttons"/>
    <w:basedOn w:val="DefaultParagraphFont"/>
    <w:rsid w:val="00B22B4B"/>
    <w:rPr>
      <w:b/>
    </w:rPr>
  </w:style>
  <w:style w:type="character" w:customStyle="1" w:styleId="Underlined">
    <w:name w:val="Underlined"/>
    <w:basedOn w:val="DefaultParagraphFont"/>
    <w:rsid w:val="00B22B4B"/>
    <w:rPr>
      <w:u w:val="single"/>
    </w:rPr>
  </w:style>
  <w:style w:type="paragraph" w:customStyle="1" w:styleId="TableBodyTextRight">
    <w:name w:val="Table Body Text Right"/>
    <w:basedOn w:val="TableBodyText"/>
    <w:rsid w:val="00B22B4B"/>
    <w:pPr>
      <w:widowControl w:val="0"/>
      <w:autoSpaceDE w:val="0"/>
      <w:autoSpaceDN w:val="0"/>
      <w:adjustRightInd w:val="0"/>
      <w:jc w:val="right"/>
    </w:pPr>
    <w:rPr>
      <w:rFonts w:cs="Arial"/>
      <w:szCs w:val="18"/>
    </w:rPr>
  </w:style>
  <w:style w:type="paragraph" w:customStyle="1" w:styleId="CopyrightText">
    <w:name w:val="Copyright Text"/>
    <w:basedOn w:val="BodyText"/>
    <w:rsid w:val="00B22B4B"/>
    <w:rPr>
      <w:sz w:val="18"/>
    </w:rPr>
  </w:style>
  <w:style w:type="paragraph" w:customStyle="1" w:styleId="BodySmallRight">
    <w:name w:val="Body Small Right"/>
    <w:basedOn w:val="BodyTextRight"/>
    <w:rsid w:val="00B22B4B"/>
    <w:rPr>
      <w:sz w:val="18"/>
      <w:szCs w:val="18"/>
    </w:rPr>
  </w:style>
  <w:style w:type="paragraph" w:customStyle="1" w:styleId="MarginEdition">
    <w:name w:val="Margin Edition"/>
    <w:basedOn w:val="MarginNote"/>
    <w:rsid w:val="00B22B4B"/>
    <w:pPr>
      <w:spacing w:before="0" w:after="0"/>
    </w:pPr>
    <w:rPr>
      <w:rFonts w:ascii="Times New Roman" w:hAnsi="Times New Roman"/>
      <w:color w:val="999999"/>
    </w:rPr>
  </w:style>
  <w:style w:type="paragraph" w:customStyle="1" w:styleId="Spacer">
    <w:name w:val="Spacer"/>
    <w:basedOn w:val="Normal"/>
    <w:rsid w:val="00B22B4B"/>
    <w:rPr>
      <w:sz w:val="2"/>
      <w:szCs w:val="2"/>
    </w:rPr>
  </w:style>
  <w:style w:type="character" w:customStyle="1" w:styleId="Small">
    <w:name w:val="Small"/>
    <w:basedOn w:val="DefaultParagraphFont"/>
    <w:rsid w:val="00B22B4B"/>
    <w:rPr>
      <w:sz w:val="16"/>
    </w:rPr>
  </w:style>
  <w:style w:type="paragraph" w:customStyle="1" w:styleId="WideTable">
    <w:name w:val="Wide Table"/>
    <w:basedOn w:val="Normal"/>
    <w:rsid w:val="00B22B4B"/>
    <w:pPr>
      <w:ind w:left="-1418"/>
    </w:pPr>
    <w:rPr>
      <w:sz w:val="2"/>
      <w:szCs w:val="2"/>
    </w:rPr>
  </w:style>
  <w:style w:type="character" w:styleId="PageNumber">
    <w:name w:val="page number"/>
    <w:basedOn w:val="DefaultParagraphFont"/>
    <w:rsid w:val="00B22B4B"/>
  </w:style>
  <w:style w:type="paragraph" w:styleId="Quote">
    <w:name w:val="Quote"/>
    <w:basedOn w:val="Heading1"/>
    <w:link w:val="QuoteChar"/>
    <w:qFormat/>
    <w:rsid w:val="00B22B4B"/>
    <w:rPr>
      <w:b w:val="0"/>
      <w:sz w:val="72"/>
      <w:szCs w:val="72"/>
      <w:lang w:val="en-NZ"/>
    </w:rPr>
  </w:style>
  <w:style w:type="character" w:customStyle="1" w:styleId="QuoteChar">
    <w:name w:val="Quote Char"/>
    <w:basedOn w:val="DefaultParagraphFont"/>
    <w:link w:val="Quote"/>
    <w:rsid w:val="00B22B4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22B4B"/>
    <w:pPr>
      <w:pageBreakBefore/>
    </w:pPr>
  </w:style>
  <w:style w:type="paragraph" w:customStyle="1" w:styleId="Border">
    <w:name w:val="Border"/>
    <w:basedOn w:val="Normal"/>
    <w:qFormat/>
    <w:rsid w:val="00B22B4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22B4B"/>
    <w:rPr>
      <w:b/>
      <w:bCs/>
      <w:i/>
      <w:iCs/>
      <w:color w:val="auto"/>
    </w:rPr>
  </w:style>
  <w:style w:type="paragraph" w:styleId="IntenseQuote">
    <w:name w:val="Intense Quote"/>
    <w:basedOn w:val="Normal"/>
    <w:next w:val="Normal"/>
    <w:link w:val="IntenseQuoteChar"/>
    <w:uiPriority w:val="30"/>
    <w:qFormat/>
    <w:rsid w:val="00B22B4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22B4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22B4B"/>
    <w:rPr>
      <w:smallCaps/>
      <w:color w:val="auto"/>
      <w:u w:val="single"/>
    </w:rPr>
  </w:style>
  <w:style w:type="character" w:styleId="IntenseReference">
    <w:name w:val="Intense Reference"/>
    <w:basedOn w:val="DefaultParagraphFont"/>
    <w:uiPriority w:val="32"/>
    <w:qFormat/>
    <w:rsid w:val="00B22B4B"/>
    <w:rPr>
      <w:b/>
      <w:bCs/>
      <w:smallCaps/>
      <w:color w:val="auto"/>
      <w:spacing w:val="5"/>
      <w:u w:val="single"/>
    </w:rPr>
  </w:style>
  <w:style w:type="paragraph" w:customStyle="1" w:styleId="2ColumnHeading">
    <w:name w:val="2Column Heading"/>
    <w:basedOn w:val="BodyText"/>
    <w:qFormat/>
    <w:rsid w:val="00B22B4B"/>
    <w:pPr>
      <w:spacing w:after="60"/>
      <w:ind w:left="-2268"/>
    </w:pPr>
    <w:rPr>
      <w:b/>
    </w:rPr>
  </w:style>
  <w:style w:type="paragraph" w:customStyle="1" w:styleId="Heading1TOC">
    <w:name w:val="Heading1 TOC"/>
    <w:basedOn w:val="Normal"/>
    <w:qFormat/>
    <w:rsid w:val="00B22B4B"/>
    <w:pPr>
      <w:spacing w:before="240" w:after="120"/>
    </w:pPr>
    <w:rPr>
      <w:rFonts w:ascii="Times New Roman" w:hAnsi="Times New Roman"/>
      <w:b/>
      <w:sz w:val="32"/>
    </w:rPr>
  </w:style>
  <w:style w:type="paragraph" w:customStyle="1" w:styleId="Heading2TOC">
    <w:name w:val="Heading2 TOC"/>
    <w:basedOn w:val="Normal"/>
    <w:qFormat/>
    <w:rsid w:val="00B22B4B"/>
    <w:pPr>
      <w:spacing w:before="240" w:after="60"/>
    </w:pPr>
    <w:rPr>
      <w:rFonts w:ascii="Times New Roman" w:hAnsi="Times New Roman"/>
      <w:b/>
      <w:sz w:val="28"/>
    </w:rPr>
  </w:style>
  <w:style w:type="character" w:customStyle="1" w:styleId="Underline">
    <w:name w:val="Underline"/>
    <w:basedOn w:val="DefaultParagraphFont"/>
    <w:qFormat/>
    <w:rsid w:val="00B22B4B"/>
    <w:rPr>
      <w:u w:val="single"/>
    </w:rPr>
  </w:style>
  <w:style w:type="character" w:customStyle="1" w:styleId="BoldandItalics">
    <w:name w:val="Bold and Italics"/>
    <w:qFormat/>
    <w:rsid w:val="00B22B4B"/>
    <w:rPr>
      <w:b/>
      <w:i/>
      <w:u w:val="none"/>
    </w:rPr>
  </w:style>
  <w:style w:type="paragraph" w:styleId="BalloonText">
    <w:name w:val="Balloon Text"/>
    <w:basedOn w:val="Normal"/>
    <w:link w:val="BalloonTextChar"/>
    <w:rsid w:val="00B22B4B"/>
    <w:rPr>
      <w:rFonts w:ascii="Tahoma" w:hAnsi="Tahoma" w:cs="Tahoma"/>
      <w:sz w:val="16"/>
      <w:szCs w:val="16"/>
    </w:rPr>
  </w:style>
  <w:style w:type="character" w:customStyle="1" w:styleId="BalloonTextChar">
    <w:name w:val="Balloon Text Char"/>
    <w:basedOn w:val="DefaultParagraphFont"/>
    <w:link w:val="BalloonText"/>
    <w:rsid w:val="00B22B4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22B4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22B4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22B4B"/>
    <w:rPr>
      <w:b/>
      <w:color w:val="660033"/>
      <w:spacing w:val="0"/>
    </w:rPr>
  </w:style>
  <w:style w:type="paragraph" w:customStyle="1" w:styleId="Nameditemlist">
    <w:name w:val="Named item list"/>
    <w:basedOn w:val="BodyText"/>
    <w:qFormat/>
    <w:rsid w:val="00B22B4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904</Words>
  <Characters>5784</Characters>
  <Application>Microsoft Office Word</Application>
  <DocSecurity>0</DocSecurity>
  <Lines>265</Lines>
  <Paragraphs>131</Paragraphs>
  <ScaleCrop>false</ScaleCrop>
  <Company>Author-it Software Corporation Ltd.</Company>
  <LinksUpToDate>false</LinksUpToDate>
  <CharactersWithSpaces>6580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MSL965003 Construct, modify and maintain high vacuum systems</dc:title>
  <dc:subject>Approved</dc:subject>
  <dc:creator>Manufacturing Skills Australia</dc:creator>
  <cp:keywords>Release: 1</cp:keywords>
  <dc:description>Review Date: 12 April 2008</dc:description>
  <cp:lastModifiedBy>HSD_TPCMSd.prod</cp:lastModifiedBy>
  <cp:revision>3</cp:revision>
  <dcterms:created xsi:type="dcterms:W3CDTF">2016-03-01T06:16:00Z</dcterms:created>
  <dcterms:modified xsi:type="dcterms:W3CDTF">2016-03-01T06:17:00Z</dcterms:modified>
</cp:coreProperties>
</file>