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F0A" w:rsidP="00185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MSL963001 Operate basic handblowing equipment</w:t>
      </w:r>
      <w:r>
        <w:fldChar w:fldCharType="end"/>
      </w:r>
    </w:p>
    <w:p w:rsidR="00185F0A" w:rsidP="00185F0A">
      <w:pPr>
        <w:pStyle w:val="Version"/>
        <w:sectPr w:rsidSect="00127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456" w:rsidP="00127456">
      <w:pPr>
        <w:pStyle w:val="SuperHeading"/>
      </w:pPr>
      <w:r w:rsidRPr="00127456">
        <w:t>MSL963001 Operate basic handblowing equipment</w:t>
      </w:r>
    </w:p>
    <w:p w:rsidR="00000000" w:rsidRPr="00127456" w:rsidP="00127456">
      <w:pPr>
        <w:pStyle w:val="Heading1"/>
      </w:pPr>
      <w:bookmarkStart w:id="1" w:name="O_902997"/>
      <w:bookmarkEnd w:id="1"/>
      <w:r w:rsidRPr="00127456">
        <w:t>Modification History</w:t>
      </w:r>
    </w:p>
    <w:p w:rsidR="00000000" w:rsidRPr="00127456" w:rsidP="00127456">
      <w:pPr>
        <w:pStyle w:val="BodyText"/>
      </w:pPr>
      <w:r w:rsidRPr="00127456">
        <w:t>Release 1. Supersedes and is equivalent to MSL963001A Operate basic handblowing equipment</w:t>
      </w:r>
    </w:p>
    <w:p w:rsidR="00000000" w:rsidRPr="00127456" w:rsidP="00127456">
      <w:pPr>
        <w:pStyle w:val="AllowPageBreak"/>
      </w:pPr>
    </w:p>
    <w:p w:rsidR="00000000" w:rsidRPr="00127456" w:rsidP="00127456">
      <w:pPr>
        <w:pStyle w:val="Heading1"/>
      </w:pPr>
      <w:bookmarkStart w:id="2" w:name="O_903005"/>
      <w:bookmarkEnd w:id="2"/>
      <w:r w:rsidRPr="00127456">
        <w:t>Application</w:t>
      </w:r>
    </w:p>
    <w:p w:rsidR="00000000" w:rsidRPr="00127456" w:rsidP="00127456">
      <w:pPr>
        <w:pStyle w:val="BodyText"/>
      </w:pPr>
      <w:r w:rsidRPr="00127456">
        <w:t>This unit of competency covers the ability to operate handblowing equipment to perform basic glasswork. Pers</w:t>
      </w:r>
      <w:r w:rsidRPr="00127456">
        <w:t>onnel may be less experienced workers working under the guidance of an experienced scientific glassblower.</w:t>
      </w:r>
    </w:p>
    <w:p w:rsidR="00000000" w:rsidRPr="00127456" w:rsidP="00127456">
      <w:pPr>
        <w:pStyle w:val="BodyText"/>
      </w:pPr>
    </w:p>
    <w:p w:rsidR="00000000" w:rsidRPr="00127456" w:rsidP="00127456">
      <w:pPr>
        <w:pStyle w:val="BodyText"/>
      </w:pPr>
      <w:r w:rsidRPr="00127456">
        <w:t>This unit of competency is applicable to personnel working with experienced scientific glassblowers, generally in scientific educational institution</w:t>
      </w:r>
      <w:r w:rsidRPr="00127456">
        <w:t xml:space="preserve">s. </w:t>
      </w:r>
    </w:p>
    <w:p w:rsidR="00000000" w:rsidRPr="00127456" w:rsidP="00127456">
      <w:pPr>
        <w:pStyle w:val="BodyText"/>
      </w:pPr>
    </w:p>
    <w:p w:rsidR="00000000" w:rsidRPr="00127456" w:rsidP="00127456">
      <w:pPr>
        <w:pStyle w:val="BodyText"/>
      </w:pPr>
      <w:r w:rsidRPr="00127456">
        <w:t>While no specific licensing or certification requirements apply to this unit at the time of publication, laboratory operations are governed by relevant legislation, regulations and/or external accreditation requirements. Local requirements should be c</w:t>
      </w:r>
      <w:r w:rsidRPr="00127456">
        <w:t>hecked.</w:t>
      </w:r>
    </w:p>
    <w:p w:rsidR="00000000" w:rsidRPr="00127456" w:rsidP="00127456">
      <w:pPr>
        <w:pStyle w:val="AllowPageBreak"/>
      </w:pPr>
    </w:p>
    <w:p w:rsidR="00000000" w:rsidRPr="00127456" w:rsidP="00127456">
      <w:pPr>
        <w:pStyle w:val="Heading1"/>
      </w:pPr>
      <w:bookmarkStart w:id="3" w:name="O_903004"/>
      <w:bookmarkEnd w:id="3"/>
      <w:r w:rsidRPr="00127456">
        <w:t>Pre-requisite Unit</w:t>
      </w:r>
    </w:p>
    <w:p w:rsidR="00000000" w:rsidRPr="00127456" w:rsidP="00127456">
      <w:pPr>
        <w:pStyle w:val="BodyText"/>
      </w:pPr>
      <w:r w:rsidRPr="00127456">
        <w:t>Nil</w:t>
      </w:r>
    </w:p>
    <w:p w:rsidR="00000000" w:rsidRPr="00127456" w:rsidP="00127456">
      <w:pPr>
        <w:pStyle w:val="AllowPageBreak"/>
      </w:pPr>
    </w:p>
    <w:p w:rsidR="00000000" w:rsidRPr="00127456" w:rsidP="00127456">
      <w:pPr>
        <w:pStyle w:val="Heading1"/>
      </w:pPr>
      <w:bookmarkStart w:id="4" w:name="O_903003"/>
      <w:bookmarkEnd w:id="4"/>
      <w:r w:rsidRPr="00127456">
        <w:t>Competency Field</w:t>
      </w:r>
    </w:p>
    <w:p w:rsidR="00000000" w:rsidRPr="00127456" w:rsidP="00127456">
      <w:pPr>
        <w:pStyle w:val="BodyText"/>
      </w:pPr>
      <w:r w:rsidRPr="00127456">
        <w:t>Scientific glassblowing</w:t>
      </w:r>
    </w:p>
    <w:p w:rsidR="00000000" w:rsidRPr="00127456" w:rsidP="00127456">
      <w:pPr>
        <w:pStyle w:val="AllowPageBreak"/>
      </w:pPr>
    </w:p>
    <w:p w:rsidR="00000000" w:rsidRPr="00127456" w:rsidP="00127456">
      <w:pPr>
        <w:pStyle w:val="Heading1"/>
      </w:pPr>
      <w:bookmarkStart w:id="5" w:name="O_903002"/>
      <w:bookmarkEnd w:id="5"/>
      <w:r w:rsidRPr="00127456">
        <w:t>Unit Sector</w:t>
      </w:r>
    </w:p>
    <w:p w:rsidR="00000000" w:rsidRPr="00127456" w:rsidP="00127456">
      <w:pPr>
        <w:pStyle w:val="Heading1"/>
      </w:pPr>
      <w:bookmarkStart w:id="6" w:name="O_903001"/>
      <w:bookmarkEnd w:id="6"/>
      <w:r w:rsidRPr="001274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Performance criteria describ</w:t>
            </w:r>
            <w:r w:rsidRPr="00127456">
              <w:t>e the performance needed to demonstrate achievement of the element.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rPr>
                <w:rStyle w:val="SpecialBold"/>
              </w:rPr>
              <w:t>Prepare for handblowing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Identify job, appropriate procedure, hazards and safety requirements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Use safety equipment, safety procedures and personal protective equipment (PPE) specified for the job and materials to be used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Record description of the job to be undertaken, compare with specification and report any variations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Select and prepare tools and equipment in accordance with job requirements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Identify glass stocks and components required for the job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rPr>
                <w:rStyle w:val="SpecialBold"/>
              </w:rPr>
              <w:t>Follow sequence of operations for glasswork procedure to be performed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Prepare glass stocks and components as required for the job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Check and adjust equipment and tools for the job as applicable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Start up equipment using workplace procedures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Carry out glasswork procedure using the appropriate standard method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Monitor process and rectify routine problems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Follow equipment shutdown procedures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rPr>
                <w:rStyle w:val="SpecialBold"/>
              </w:rPr>
              <w:t>Use annealing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Prepare annealing equipment for the job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Start up, operate and shut down annealing equipment using workplace procedures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Monitor, adjust and record annealing operation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Rectify routine problems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 xml:space="preserve">Follow </w:t>
            </w:r>
            <w:r w:rsidRPr="00127456">
              <w:t>established safe work practices to ensure own safety and that of others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Minimise the generation of wastes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Ensure the safe disposal of wastes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Clean, care for and maintain work area, equipment and tools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Report any hazards or incidents according to workplace procedures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Record data in accordance with workplace requirements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Maintain equipment logs in accordance with workplace requirements</w:t>
            </w:r>
          </w:p>
        </w:tc>
      </w:tr>
      <w:tr w:rsidTr="00127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Maintain security and confidentiality of workplace information</w:t>
            </w:r>
          </w:p>
        </w:tc>
      </w:tr>
    </w:tbl>
    <w:p w:rsidR="00000000" w:rsidRPr="00127456" w:rsidP="00127456">
      <w:pPr>
        <w:pStyle w:val="BodyText"/>
      </w:pPr>
    </w:p>
    <w:p w:rsidR="00000000" w:rsidRPr="00127456" w:rsidP="00127456">
      <w:pPr>
        <w:pStyle w:val="AllowPageBreak"/>
      </w:pPr>
    </w:p>
    <w:p w:rsidR="00000000" w:rsidRPr="00127456" w:rsidP="00127456">
      <w:pPr>
        <w:pStyle w:val="Heading1"/>
      </w:pPr>
      <w:bookmarkStart w:id="7" w:name="O_903000"/>
      <w:bookmarkEnd w:id="7"/>
      <w:r w:rsidRPr="00127456">
        <w:t>Foundation Skills</w:t>
      </w:r>
    </w:p>
    <w:p w:rsidR="00000000" w:rsidRPr="00127456" w:rsidP="00127456">
      <w:pPr>
        <w:pStyle w:val="BodyText"/>
      </w:pPr>
      <w:r w:rsidRPr="00127456">
        <w:t>This section describes those language, literacy, numeracy and employment skills that are essential to performance.</w:t>
      </w:r>
    </w:p>
    <w:p w:rsidR="00000000" w:rsidRPr="00127456" w:rsidP="00127456">
      <w:pPr>
        <w:pStyle w:val="BodyText"/>
      </w:pPr>
    </w:p>
    <w:p w:rsidR="00000000" w:rsidRPr="00127456" w:rsidP="00127456">
      <w:pPr>
        <w:pStyle w:val="BodyText"/>
      </w:pPr>
      <w:r w:rsidRPr="00127456">
        <w:t>Foundation skills essential to performance are explicit in the performance criteria of this unit of competency.</w:t>
      </w:r>
    </w:p>
    <w:p w:rsidR="00000000" w:rsidRPr="00127456" w:rsidP="00127456">
      <w:pPr>
        <w:pStyle w:val="AllowPageBreak"/>
      </w:pPr>
    </w:p>
    <w:p w:rsidR="00000000" w:rsidRPr="00127456" w:rsidP="00127456">
      <w:pPr>
        <w:pStyle w:val="Heading1"/>
      </w:pPr>
      <w:bookmarkStart w:id="8" w:name="O_902999"/>
      <w:bookmarkEnd w:id="8"/>
      <w:r w:rsidRPr="0012745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85F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t>This field allows for different work environments and conditions that may affect performance. Essential ope</w:t>
            </w:r>
            <w:r w:rsidRPr="0012745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85F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rPr>
                <w:rStyle w:val="SpecialBold"/>
              </w:rPr>
              <w:t>Standards, codes, procedures and/or workplace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Standards, codes</w:t>
            </w:r>
            <w:r w:rsidRPr="00127456">
              <w:t>, procedures and/or workplace requirements include the latest version of one or more of:</w:t>
            </w:r>
          </w:p>
          <w:p w:rsidR="00000000" w:rsidRPr="00127456" w:rsidP="00127456">
            <w:pPr>
              <w:pStyle w:val="ListBullet"/>
            </w:pPr>
            <w:r w:rsidRPr="00127456">
              <w:t>Australian and international standards covering the requirements for the laboratory safety; quality and environmental management; and labelling, storage, handling and</w:t>
            </w:r>
            <w:r w:rsidRPr="00127456">
              <w:t xml:space="preserve"> transport of hazardous materials</w:t>
            </w:r>
          </w:p>
          <w:p w:rsidR="00000000" w:rsidRPr="00127456" w:rsidP="00127456">
            <w:pPr>
              <w:pStyle w:val="ListBullet"/>
            </w:pPr>
            <w:r w:rsidRPr="00127456">
              <w:t>national work health and safety (WHS) standards and codes of practice</w:t>
            </w:r>
          </w:p>
          <w:p w:rsidR="00000000" w:rsidRPr="00127456" w:rsidP="00127456">
            <w:pPr>
              <w:pStyle w:val="ListBullet"/>
            </w:pPr>
            <w:r w:rsidRPr="00127456">
              <w:t>specific codes, guidelines and procedures, such as principles of good laboratory practice (GLP)</w:t>
            </w:r>
          </w:p>
          <w:p w:rsidR="00000000" w:rsidRPr="00127456" w:rsidP="00127456">
            <w:pPr>
              <w:pStyle w:val="ListBullet"/>
            </w:pPr>
            <w:r w:rsidRPr="00127456">
              <w:t>workplace documents, such as standard operating procedures (SOPs); quality and equipment manuals; maintenance schedules; material safety data sheets (MSDS); safety procedures; material, production and product specifications; production and laboratory sched</w:t>
            </w:r>
            <w:r w:rsidRPr="00127456">
              <w:t>ules; workplace recording and reporting procedures; and waste minimisation and safe disposal procedures</w:t>
            </w:r>
          </w:p>
          <w:p w:rsidR="00000000" w:rsidP="00127456">
            <w:pPr>
              <w:pStyle w:val="BodyText"/>
              <w:rPr>
                <w:lang w:val="en-NZ"/>
              </w:rPr>
            </w:pPr>
          </w:p>
        </w:tc>
      </w:tr>
      <w:tr w:rsidTr="00185F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Hazards include, but are not limited to, one or more of:</w:t>
            </w:r>
          </w:p>
          <w:p w:rsidR="00000000" w:rsidRPr="00127456" w:rsidP="00127456">
            <w:pPr>
              <w:pStyle w:val="ListBullet"/>
            </w:pPr>
            <w:r w:rsidRPr="00127456">
              <w:t>glass dust</w:t>
            </w:r>
          </w:p>
          <w:p w:rsidR="00000000" w:rsidRPr="00127456" w:rsidP="00127456">
            <w:pPr>
              <w:pStyle w:val="ListBullet"/>
            </w:pPr>
            <w:r w:rsidRPr="00127456">
              <w:t>sharps and broken glassware</w:t>
            </w:r>
          </w:p>
          <w:p w:rsidR="00000000" w:rsidRPr="00127456" w:rsidP="00127456">
            <w:pPr>
              <w:pStyle w:val="ListBullet"/>
            </w:pPr>
            <w:r w:rsidRPr="00127456">
              <w:t>heat sources, such as burners and ovens</w:t>
            </w:r>
          </w:p>
          <w:p w:rsidR="00000000" w:rsidRPr="00127456" w:rsidP="00127456">
            <w:pPr>
              <w:pStyle w:val="ListBullet"/>
            </w:pPr>
            <w:r w:rsidRPr="00127456">
              <w:t>fluid</w:t>
            </w:r>
            <w:r w:rsidRPr="00127456">
              <w:t>s under pressure (acetylene and oxygen)</w:t>
            </w:r>
          </w:p>
          <w:p w:rsidR="00000000" w:rsidRPr="00127456" w:rsidP="00127456">
            <w:pPr>
              <w:pStyle w:val="ListBullet"/>
            </w:pPr>
            <w:r w:rsidRPr="00127456">
              <w:t>cuts associated with glass grinders and cutters</w:t>
            </w:r>
          </w:p>
          <w:p w:rsidR="00000000" w:rsidRPr="00127456" w:rsidP="00127456">
            <w:pPr>
              <w:pStyle w:val="ListBullet"/>
            </w:pPr>
            <w:r w:rsidRPr="00127456">
              <w:t>manual handling of heavy bags and containers</w:t>
            </w:r>
          </w:p>
          <w:p w:rsidR="00000000" w:rsidP="00127456">
            <w:pPr>
              <w:pStyle w:val="BodyText"/>
              <w:rPr>
                <w:lang w:val="en-NZ"/>
              </w:rPr>
            </w:pPr>
          </w:p>
        </w:tc>
      </w:tr>
      <w:tr w:rsidTr="00185F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rPr>
                <w:rStyle w:val="SpecialBold"/>
              </w:rPr>
              <w:t>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Safety procedures include, but are not limited to, one or more of:</w:t>
            </w:r>
          </w:p>
          <w:p w:rsidR="00000000" w:rsidRPr="00127456" w:rsidP="00127456">
            <w:pPr>
              <w:pStyle w:val="ListBullet"/>
            </w:pPr>
            <w:r w:rsidRPr="00127456">
              <w:t xml:space="preserve">ensuring access </w:t>
            </w:r>
            <w:r w:rsidRPr="00127456">
              <w:t>to service shut-off points</w:t>
            </w:r>
          </w:p>
          <w:p w:rsidR="00000000" w:rsidRPr="00127456" w:rsidP="00127456">
            <w:pPr>
              <w:pStyle w:val="ListBullet"/>
            </w:pPr>
            <w:r w:rsidRPr="00127456">
              <w:t>recognising and observing hazard warnings and safety signs</w:t>
            </w:r>
          </w:p>
          <w:p w:rsidR="00000000" w:rsidRPr="00127456" w:rsidP="00127456">
            <w:pPr>
              <w:pStyle w:val="ListBullet"/>
            </w:pPr>
            <w:r w:rsidRPr="00127456">
              <w:t>correct labelling of samples and hazardous materials</w:t>
            </w:r>
          </w:p>
          <w:p w:rsidR="00000000" w:rsidRPr="00127456" w:rsidP="00127456">
            <w:pPr>
              <w:pStyle w:val="ListBullet"/>
            </w:pPr>
            <w:r w:rsidRPr="00127456">
              <w:t>extracting dust</w:t>
            </w:r>
          </w:p>
          <w:p w:rsidR="00000000" w:rsidRPr="00127456" w:rsidP="00127456">
            <w:pPr>
              <w:pStyle w:val="ListBullet"/>
            </w:pPr>
            <w:r w:rsidRPr="00127456">
              <w:t>following established manual handling procedures</w:t>
            </w:r>
          </w:p>
          <w:p w:rsidR="00000000" w:rsidRPr="00127456" w:rsidP="00127456">
            <w:pPr>
              <w:pStyle w:val="ListBullet"/>
            </w:pPr>
            <w:r w:rsidRPr="00127456">
              <w:t>handling and storing hazardous materials and equipme</w:t>
            </w:r>
            <w:r w:rsidRPr="00127456">
              <w:t>nt in accordance with labels, MSDS, manufacturer instructions, and workplace procedures and regulations</w:t>
            </w:r>
          </w:p>
          <w:p w:rsidR="00000000" w:rsidRPr="00127456" w:rsidP="00127456">
            <w:pPr>
              <w:pStyle w:val="ListBullet"/>
            </w:pPr>
            <w:r w:rsidRPr="00127456">
              <w:t>regular cleaning and/or decontamination of equipment and work areas</w:t>
            </w:r>
          </w:p>
          <w:p w:rsidR="00000000" w:rsidRPr="00127456" w:rsidP="00127456">
            <w:pPr>
              <w:pStyle w:val="ListBullet"/>
            </w:pPr>
            <w:r w:rsidRPr="00127456">
              <w:t>using PPE, such as heat resistant gloves, safety glasses, goggles, face guards, cove</w:t>
            </w:r>
            <w:r w:rsidRPr="00127456">
              <w:t>ralls, respirators and safety boots</w:t>
            </w:r>
          </w:p>
          <w:p w:rsidR="00000000" w:rsidP="00127456">
            <w:pPr>
              <w:pStyle w:val="BodyText"/>
              <w:rPr>
                <w:lang w:val="en-NZ"/>
              </w:rPr>
            </w:pPr>
          </w:p>
        </w:tc>
      </w:tr>
      <w:tr w:rsidTr="00185F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456">
            <w:pPr>
              <w:pStyle w:val="BodyText"/>
              <w:rPr>
                <w:lang w:val="en-NZ"/>
              </w:rPr>
            </w:pPr>
            <w:r w:rsidRPr="00127456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456" w:rsidP="00127456">
            <w:pPr>
              <w:pStyle w:val="BodyText"/>
            </w:pPr>
            <w:r w:rsidRPr="00127456">
              <w:t>WHS and environmental management requirements include:</w:t>
            </w:r>
          </w:p>
          <w:p w:rsidR="00000000" w:rsidRPr="00127456" w:rsidP="00127456">
            <w:pPr>
              <w:pStyle w:val="BodyText"/>
            </w:pPr>
            <w:r w:rsidRPr="00127456">
              <w:rPr>
                <w:rStyle w:val="Symbols"/>
              </w:rPr>
              <w:t></w:t>
            </w:r>
            <w:r w:rsidRPr="00127456">
              <w:rPr>
                <w:rStyle w:val="Symbols"/>
              </w:rPr>
              <w:tab/>
            </w:r>
            <w:r w:rsidRPr="00127456">
              <w:t>complying with WHS and environmental management requirements at all times, which may be imposed through state/terr</w:t>
            </w:r>
            <w:r w:rsidRPr="00127456">
              <w:t>itory or federal legislation. These requirements must not be compromised at any time</w:t>
            </w:r>
          </w:p>
          <w:p w:rsidR="00000000" w:rsidRPr="00127456" w:rsidP="00127456">
            <w:pPr>
              <w:pStyle w:val="BodyText"/>
            </w:pPr>
            <w:r w:rsidRPr="00127456">
              <w:rPr>
                <w:rStyle w:val="Symbols"/>
              </w:rPr>
              <w:t></w:t>
            </w:r>
            <w:r w:rsidRPr="00127456">
              <w:rPr>
                <w:rStyle w:val="Symbols"/>
              </w:rPr>
              <w:tab/>
            </w:r>
            <w:r w:rsidRPr="00127456">
              <w:t>applying standard precautions relating to the potentially hazardous nature of samples</w:t>
            </w:r>
          </w:p>
          <w:p w:rsidR="00000000" w:rsidRPr="00127456" w:rsidP="00127456">
            <w:pPr>
              <w:pStyle w:val="ListBullet"/>
            </w:pPr>
            <w:r w:rsidRPr="00127456">
              <w:t xml:space="preserve">accessing and applying current industry understanding of infection control issued </w:t>
            </w:r>
            <w:r w:rsidRPr="00127456">
              <w:t>by the National Health and Medical Research Council (NHMRC) and State and Territory Departments of Health, where relevant</w:t>
            </w:r>
          </w:p>
        </w:tc>
      </w:tr>
    </w:tbl>
    <w:p w:rsidR="00000000" w:rsidRPr="00127456" w:rsidP="00127456">
      <w:pPr>
        <w:pStyle w:val="BodyText"/>
      </w:pPr>
    </w:p>
    <w:p w:rsidR="00000000" w:rsidRPr="00127456" w:rsidP="00127456">
      <w:pPr>
        <w:pStyle w:val="AllowPageBreak"/>
      </w:pPr>
    </w:p>
    <w:p w:rsidR="00000000" w:rsidRPr="00127456" w:rsidP="00127456">
      <w:pPr>
        <w:pStyle w:val="Heading1"/>
      </w:pPr>
      <w:bookmarkStart w:id="9" w:name="O_902998"/>
      <w:bookmarkEnd w:id="9"/>
      <w:r w:rsidRPr="00127456">
        <w:t>Unit Mapping Information</w:t>
      </w:r>
    </w:p>
    <w:p w:rsidR="00000000" w:rsidRPr="00127456" w:rsidP="00127456">
      <w:pPr>
        <w:pStyle w:val="BodyText"/>
      </w:pPr>
      <w:r w:rsidRPr="00127456">
        <w:t>Release 1. Supersedes and is equivalent to MSL963001A Operate basic handblowing equipment</w:t>
      </w:r>
    </w:p>
    <w:p w:rsidR="00000000" w:rsidRPr="00127456" w:rsidP="00127456">
      <w:pPr>
        <w:pStyle w:val="AllowPageBreak"/>
      </w:pPr>
    </w:p>
    <w:p w:rsidR="00000000" w:rsidRPr="00127456" w:rsidP="00127456">
      <w:pPr>
        <w:pStyle w:val="Heading1"/>
      </w:pPr>
      <w:bookmarkStart w:id="10" w:name="O_902991"/>
      <w:bookmarkEnd w:id="10"/>
      <w:r w:rsidRPr="00127456">
        <w:t>Links</w:t>
      </w:r>
    </w:p>
    <w:p w:rsidR="00000000" w:rsidRPr="00127456" w:rsidP="00127456">
      <w:pPr>
        <w:pStyle w:val="BodyText"/>
      </w:pPr>
      <w:r w:rsidRPr="00127456">
        <w:t>MSA Training Package Implementation Guides - http://mskills.org.au/training-packages/info/</w:t>
      </w:r>
    </w:p>
    <w:p w:rsidR="00000000" w:rsidRPr="00127456" w:rsidP="00127456"/>
    <w:sectPr w:rsidSect="001274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56" w:rsidRPr="00185F0A" w:rsidP="00185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0A" w:rsidP="00127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F0A" w:rsidP="00127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85F0A" w:rsidP="00127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56" w:rsidRPr="00185F0A" w:rsidP="00185F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0A" w:rsidRPr="002D2AF8" w:rsidP="00127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MSL963001 Operate basic handblowing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185F0A" w:rsidP="00127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FA7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468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456"/>
  </w:style>
  <w:style w:type="character" w:customStyle="1" w:styleId="Heading1Char">
    <w:name w:val="Heading 1 Char"/>
    <w:basedOn w:val="DefaultParagraphFont"/>
    <w:link w:val="Heading1"/>
    <w:rsid w:val="00127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4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4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456"/>
    <w:rPr>
      <w:b/>
      <w:spacing w:val="0"/>
    </w:rPr>
  </w:style>
  <w:style w:type="paragraph" w:customStyle="1" w:styleId="SuperHeading">
    <w:name w:val="SuperHeading"/>
    <w:basedOn w:val="Normal"/>
    <w:rsid w:val="00127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127456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127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4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456"/>
    <w:rPr>
      <w:i/>
    </w:rPr>
  </w:style>
  <w:style w:type="paragraph" w:styleId="Caption">
    <w:name w:val="caption"/>
    <w:basedOn w:val="BodyText"/>
    <w:next w:val="Normal"/>
    <w:qFormat/>
    <w:rsid w:val="00127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456"/>
  </w:style>
  <w:style w:type="paragraph" w:styleId="TableofFigures">
    <w:name w:val="table of figures"/>
    <w:basedOn w:val="Normal"/>
    <w:next w:val="Normal"/>
    <w:semiHidden/>
    <w:rsid w:val="00127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456"/>
    <w:pPr>
      <w:numPr>
        <w:numId w:val="10"/>
      </w:numPr>
    </w:pPr>
  </w:style>
  <w:style w:type="character" w:customStyle="1" w:styleId="WingdingSymbols">
    <w:name w:val="Wingding Symbols"/>
    <w:rsid w:val="00127456"/>
    <w:rPr>
      <w:rFonts w:ascii="Wingdings" w:hAnsi="Wingdings"/>
    </w:rPr>
  </w:style>
  <w:style w:type="paragraph" w:customStyle="1" w:styleId="TableHeading">
    <w:name w:val="Table Heading"/>
    <w:basedOn w:val="HeadingBase"/>
    <w:rsid w:val="00127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456"/>
    <w:rPr>
      <w:color w:val="0033CC"/>
      <w:u w:val="none"/>
    </w:rPr>
  </w:style>
  <w:style w:type="paragraph" w:customStyle="1" w:styleId="BodyTextRight">
    <w:name w:val="Body Text Right"/>
    <w:basedOn w:val="BodyText"/>
    <w:rsid w:val="00127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4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456"/>
    <w:rPr>
      <w:sz w:val="32"/>
    </w:rPr>
  </w:style>
  <w:style w:type="paragraph" w:customStyle="1" w:styleId="HeadingProcedure">
    <w:name w:val="Heading Procedure"/>
    <w:basedOn w:val="HeadingBase"/>
    <w:next w:val="Normal"/>
    <w:rsid w:val="00127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456"/>
    <w:pPr>
      <w:spacing w:before="60" w:after="60"/>
    </w:pPr>
  </w:style>
  <w:style w:type="paragraph" w:styleId="ListContinue">
    <w:name w:val="List Continue"/>
    <w:basedOn w:val="List"/>
    <w:rsid w:val="00127456"/>
    <w:pPr>
      <w:ind w:firstLine="0"/>
    </w:pPr>
  </w:style>
  <w:style w:type="paragraph" w:customStyle="1" w:styleId="ListNote">
    <w:name w:val="List Note"/>
    <w:basedOn w:val="List"/>
    <w:rsid w:val="00127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456"/>
    <w:rPr>
      <w:rFonts w:ascii="Courier New" w:hAnsi="Courier New"/>
    </w:rPr>
  </w:style>
  <w:style w:type="paragraph" w:customStyle="1" w:styleId="NoteBullet">
    <w:name w:val="Note Bullet"/>
    <w:basedOn w:val="Note"/>
    <w:rsid w:val="00127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4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7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456"/>
    <w:rPr>
      <w:b/>
      <w:smallCaps/>
    </w:rPr>
  </w:style>
  <w:style w:type="paragraph" w:customStyle="1" w:styleId="TableListNumber">
    <w:name w:val="Table List Number"/>
    <w:basedOn w:val="ListNumber"/>
    <w:rsid w:val="00127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456"/>
    <w:pPr>
      <w:numPr>
        <w:numId w:val="8"/>
      </w:numPr>
    </w:pPr>
  </w:style>
  <w:style w:type="paragraph" w:customStyle="1" w:styleId="ListAlpha2">
    <w:name w:val="List Alpha 2"/>
    <w:basedOn w:val="List2"/>
    <w:rsid w:val="00127456"/>
    <w:pPr>
      <w:numPr>
        <w:numId w:val="7"/>
      </w:numPr>
    </w:pPr>
  </w:style>
  <w:style w:type="paragraph" w:styleId="List2">
    <w:name w:val="List 2"/>
    <w:basedOn w:val="BodyText"/>
    <w:rsid w:val="00127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4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4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456"/>
    <w:pPr>
      <w:numPr>
        <w:numId w:val="3"/>
      </w:numPr>
    </w:pPr>
  </w:style>
  <w:style w:type="paragraph" w:styleId="ListContinue2">
    <w:name w:val="List Continue 2"/>
    <w:basedOn w:val="List2"/>
    <w:rsid w:val="00127456"/>
    <w:pPr>
      <w:ind w:firstLine="0"/>
    </w:pPr>
  </w:style>
  <w:style w:type="paragraph" w:styleId="ListContinue3">
    <w:name w:val="List Continue 3"/>
    <w:basedOn w:val="List3"/>
    <w:rsid w:val="00127456"/>
    <w:pPr>
      <w:ind w:left="1021" w:firstLine="0"/>
    </w:pPr>
  </w:style>
  <w:style w:type="paragraph" w:styleId="ListContinue4">
    <w:name w:val="List Continue 4"/>
    <w:basedOn w:val="List4"/>
    <w:rsid w:val="00127456"/>
    <w:pPr>
      <w:ind w:firstLine="0"/>
    </w:pPr>
  </w:style>
  <w:style w:type="paragraph" w:styleId="ListContinue5">
    <w:name w:val="List Continue 5"/>
    <w:basedOn w:val="List5"/>
    <w:rsid w:val="00127456"/>
    <w:pPr>
      <w:ind w:firstLine="0"/>
    </w:pPr>
  </w:style>
  <w:style w:type="paragraph" w:styleId="ListNumber3">
    <w:name w:val="List Number 3"/>
    <w:basedOn w:val="List3"/>
    <w:rsid w:val="00127456"/>
    <w:pPr>
      <w:numPr>
        <w:numId w:val="4"/>
      </w:numPr>
    </w:pPr>
  </w:style>
  <w:style w:type="paragraph" w:styleId="ListNumber4">
    <w:name w:val="List Number 4"/>
    <w:basedOn w:val="List4"/>
    <w:rsid w:val="00127456"/>
    <w:pPr>
      <w:numPr>
        <w:numId w:val="5"/>
      </w:numPr>
    </w:pPr>
  </w:style>
  <w:style w:type="paragraph" w:styleId="ListNumber5">
    <w:name w:val="List Number 5"/>
    <w:basedOn w:val="List5"/>
    <w:rsid w:val="00127456"/>
    <w:pPr>
      <w:numPr>
        <w:numId w:val="6"/>
      </w:numPr>
    </w:pPr>
  </w:style>
  <w:style w:type="paragraph" w:styleId="BlockText">
    <w:name w:val="Block Text"/>
    <w:basedOn w:val="Normal"/>
    <w:rsid w:val="00127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456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127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456"/>
    <w:rPr>
      <w:b/>
    </w:rPr>
  </w:style>
  <w:style w:type="character" w:customStyle="1" w:styleId="Underlined">
    <w:name w:val="Underlined"/>
    <w:basedOn w:val="DefaultParagraphFont"/>
    <w:rsid w:val="00127456"/>
    <w:rPr>
      <w:u w:val="single"/>
    </w:rPr>
  </w:style>
  <w:style w:type="paragraph" w:customStyle="1" w:styleId="TableBodyTextRight">
    <w:name w:val="Table Body Text Right"/>
    <w:basedOn w:val="TableBodyText"/>
    <w:rsid w:val="00127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456"/>
    <w:rPr>
      <w:sz w:val="18"/>
    </w:rPr>
  </w:style>
  <w:style w:type="paragraph" w:customStyle="1" w:styleId="BodySmallRight">
    <w:name w:val="Body Small Right"/>
    <w:basedOn w:val="BodyTextRight"/>
    <w:rsid w:val="00127456"/>
    <w:rPr>
      <w:sz w:val="18"/>
      <w:szCs w:val="18"/>
    </w:rPr>
  </w:style>
  <w:style w:type="paragraph" w:customStyle="1" w:styleId="MarginEdition">
    <w:name w:val="Margin Edition"/>
    <w:basedOn w:val="MarginNote"/>
    <w:rsid w:val="00127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456"/>
    <w:rPr>
      <w:sz w:val="2"/>
      <w:szCs w:val="2"/>
    </w:rPr>
  </w:style>
  <w:style w:type="character" w:customStyle="1" w:styleId="Small">
    <w:name w:val="Small"/>
    <w:basedOn w:val="DefaultParagraphFont"/>
    <w:rsid w:val="00127456"/>
    <w:rPr>
      <w:sz w:val="16"/>
    </w:rPr>
  </w:style>
  <w:style w:type="paragraph" w:customStyle="1" w:styleId="WideTable">
    <w:name w:val="Wide Table"/>
    <w:basedOn w:val="Normal"/>
    <w:rsid w:val="00127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456"/>
  </w:style>
  <w:style w:type="paragraph" w:styleId="Quote">
    <w:name w:val="Quote"/>
    <w:basedOn w:val="Heading1"/>
    <w:link w:val="QuoteChar"/>
    <w:qFormat/>
    <w:rsid w:val="00127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456"/>
    <w:pPr>
      <w:pageBreakBefore/>
    </w:pPr>
  </w:style>
  <w:style w:type="paragraph" w:customStyle="1" w:styleId="Border">
    <w:name w:val="Border"/>
    <w:basedOn w:val="Normal"/>
    <w:qFormat/>
    <w:rsid w:val="00127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456"/>
    <w:rPr>
      <w:u w:val="single"/>
    </w:rPr>
  </w:style>
  <w:style w:type="character" w:customStyle="1" w:styleId="BoldandItalics">
    <w:name w:val="Bold and Italics"/>
    <w:qFormat/>
    <w:rsid w:val="00127456"/>
    <w:rPr>
      <w:b/>
      <w:i/>
      <w:u w:val="none"/>
    </w:rPr>
  </w:style>
  <w:style w:type="paragraph" w:styleId="BalloonText">
    <w:name w:val="Balloon Text"/>
    <w:basedOn w:val="Normal"/>
    <w:link w:val="BalloonTextChar"/>
    <w:rsid w:val="00127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4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4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5162</Characters>
  <Application>Microsoft Office Word</Application>
  <DocSecurity>0</DocSecurity>
  <Lines>230</Lines>
  <Paragraphs>111</Paragraphs>
  <ScaleCrop>false</ScaleCrop>
  <Company>Author-it Software Corporation Ltd.</Company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MSL963001 Operate basic handblowing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2016-03-01T06:21:00Z</dcterms:created>
  <dcterms:modified xsi:type="dcterms:W3CDTF">2016-03-01T06:21:00Z</dcterms:modified>
</cp:coreProperties>
</file>