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3FA" w:rsidP="00B01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MSL954006 Relate anatomical and physiological features to laboratory samples</w:t>
      </w:r>
      <w:r>
        <w:fldChar w:fldCharType="end"/>
      </w:r>
    </w:p>
    <w:p w:rsidR="00B013FA" w:rsidP="00B013FA">
      <w:pPr>
        <w:pStyle w:val="Version"/>
        <w:sectPr w:rsidSect="00BA6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2C5" w:rsidP="00BA62C5">
      <w:pPr>
        <w:pStyle w:val="SuperHeading"/>
      </w:pPr>
      <w:r w:rsidRPr="00BA62C5">
        <w:t>Assessment Requirements for MSL954006 Relate anatomical and physiological features to laboratory samples</w:t>
      </w:r>
    </w:p>
    <w:p w:rsidR="00000000" w:rsidRPr="00BA62C5" w:rsidP="00BA62C5">
      <w:pPr>
        <w:pStyle w:val="Heading1"/>
      </w:pPr>
      <w:bookmarkStart w:id="1" w:name="O_1258143"/>
      <w:bookmarkEnd w:id="1"/>
      <w:r w:rsidRPr="00BA62C5">
        <w:t>Modification History</w:t>
      </w:r>
    </w:p>
    <w:p w:rsidR="00B013FA" w:rsidP="00B013FA">
      <w:pPr>
        <w:pStyle w:val="BodyText"/>
      </w:pPr>
      <w:r w:rsidRPr="00BA62C5">
        <w:t>Release 1. Supersedes and is equivalent to MSL954003 Relate anatomical and physiological features to laboratory samples. Changes to Element titles, Performance Criteria and Knowledge Evidence to define scope of unit.</w:t>
      </w:r>
    </w:p>
    <w:p w:rsidR="00000000" w:rsidRPr="00BA62C5" w:rsidP="00BA62C5">
      <w:pPr>
        <w:pStyle w:val="Heading1"/>
      </w:pPr>
      <w:bookmarkStart w:id="2" w:name="O_1258144"/>
      <w:bookmarkEnd w:id="2"/>
      <w:r w:rsidRPr="00BA62C5">
        <w:t>Performance Evidenc</w:t>
      </w:r>
      <w:r w:rsidRPr="00BA62C5">
        <w:t>e</w:t>
      </w:r>
    </w:p>
    <w:p w:rsidR="00000000" w:rsidRPr="00BA62C5" w:rsidP="00B013FA">
      <w:pPr>
        <w:pStyle w:val="BodyText"/>
      </w:pPr>
      <w:r w:rsidRPr="00BA62C5">
        <w:t>There must be evidence the candidate has completed the tasks outlined in the elements and performance criteria of this unit, and:</w:t>
      </w:r>
    </w:p>
    <w:p w:rsidR="00000000" w:rsidRPr="00BA62C5" w:rsidP="00BA62C5">
      <w:pPr>
        <w:pStyle w:val="ListBullet"/>
      </w:pPr>
      <w:r w:rsidRPr="00BA62C5">
        <w:t xml:space="preserve">correctly named the specific sample type from the macroscopic appearance of at least 4 different test samples from each of </w:t>
      </w:r>
      <w:r w:rsidRPr="00BA62C5">
        <w:t>the following categories (12 in total):</w:t>
      </w:r>
    </w:p>
    <w:p w:rsidR="00000000" w:rsidRPr="00BA62C5" w:rsidP="00BA62C5">
      <w:pPr>
        <w:pStyle w:val="ListBullet2"/>
      </w:pPr>
      <w:r w:rsidRPr="00BA62C5">
        <w:t xml:space="preserve">organs or organ biopsies </w:t>
      </w:r>
    </w:p>
    <w:p w:rsidR="00000000" w:rsidRPr="00BA62C5" w:rsidP="00BA62C5">
      <w:pPr>
        <w:pStyle w:val="ListBullet2"/>
      </w:pPr>
      <w:r w:rsidRPr="00BA62C5">
        <w:t>tissues</w:t>
      </w:r>
    </w:p>
    <w:p w:rsidR="00000000" w:rsidRPr="00BA62C5" w:rsidP="00BA62C5">
      <w:pPr>
        <w:pStyle w:val="ListBullet2"/>
      </w:pPr>
      <w:r w:rsidRPr="00BA62C5">
        <w:t>body fluids</w:t>
      </w:r>
    </w:p>
    <w:p w:rsidR="00000000" w:rsidRPr="00BA62C5" w:rsidP="00BA62C5">
      <w:pPr>
        <w:pStyle w:val="ListBullet"/>
      </w:pPr>
      <w:r w:rsidRPr="00BA62C5">
        <w:t xml:space="preserve">for each test sample, identified the appropriate laboratory for testing </w:t>
      </w:r>
    </w:p>
    <w:p w:rsidR="00000000" w:rsidRPr="00BA62C5" w:rsidP="00BA62C5">
      <w:pPr>
        <w:pStyle w:val="ListBullet"/>
      </w:pPr>
      <w:r w:rsidRPr="00BA62C5">
        <w:t xml:space="preserve">correctly named the specific cell type from the microscopic appearance of at least 5 different </w:t>
      </w:r>
      <w:r w:rsidRPr="00BA62C5">
        <w:t>cell types from each of the following (10 in total):</w:t>
      </w:r>
    </w:p>
    <w:p w:rsidR="00000000" w:rsidRPr="00BA62C5" w:rsidP="00BA62C5">
      <w:pPr>
        <w:pStyle w:val="ListBullet2"/>
      </w:pPr>
      <w:r w:rsidRPr="00BA62C5">
        <w:t>blood cells</w:t>
      </w:r>
    </w:p>
    <w:p w:rsidR="00B013FA" w:rsidP="00BA62C5">
      <w:pPr>
        <w:pStyle w:val="ListBullet2"/>
      </w:pPr>
      <w:r w:rsidRPr="00BA62C5">
        <w:t>tissue cells.</w:t>
      </w:r>
    </w:p>
    <w:p w:rsidR="00B013FA" w:rsidP="00BA62C5">
      <w:pPr>
        <w:pStyle w:val="ListBullet2"/>
      </w:pPr>
    </w:p>
    <w:p w:rsidR="00000000" w:rsidRPr="00BA62C5" w:rsidP="00BA62C5">
      <w:pPr>
        <w:pStyle w:val="Heading1"/>
      </w:pPr>
      <w:bookmarkStart w:id="3" w:name="O_1258145"/>
      <w:bookmarkEnd w:id="3"/>
      <w:r w:rsidRPr="00BA62C5">
        <w:t>Knowledge Evidence</w:t>
      </w:r>
    </w:p>
    <w:p w:rsidR="00000000" w:rsidRPr="00BA62C5" w:rsidP="00B013FA">
      <w:pPr>
        <w:pStyle w:val="BodyText"/>
      </w:pPr>
      <w:r w:rsidRPr="00BA62C5">
        <w:t>There must be evidence the candidate has knowledge of:</w:t>
      </w:r>
    </w:p>
    <w:p w:rsidR="00000000" w:rsidRPr="00BA62C5" w:rsidP="00BA62C5">
      <w:pPr>
        <w:pStyle w:val="ListBullet"/>
      </w:pPr>
      <w:r w:rsidRPr="00BA62C5">
        <w:t>fundamental word structure used in medical terms as they relate to common pathology samples and tests</w:t>
      </w:r>
    </w:p>
    <w:p w:rsidR="00000000" w:rsidRPr="00BA62C5" w:rsidP="00BA62C5">
      <w:pPr>
        <w:pStyle w:val="ListBullet"/>
      </w:pPr>
      <w:r w:rsidRPr="00BA62C5">
        <w:t>name and main function of body systems, including:</w:t>
      </w:r>
    </w:p>
    <w:p w:rsidR="00000000" w:rsidRPr="00BA62C5" w:rsidP="00BA62C5">
      <w:pPr>
        <w:pStyle w:val="ListBullet2"/>
      </w:pPr>
      <w:r w:rsidRPr="00BA62C5">
        <w:t xml:space="preserve">muscular </w:t>
      </w:r>
    </w:p>
    <w:p w:rsidR="00000000" w:rsidRPr="00BA62C5" w:rsidP="00BA62C5">
      <w:pPr>
        <w:pStyle w:val="ListBullet2"/>
      </w:pPr>
      <w:r w:rsidRPr="00BA62C5">
        <w:t>skeletal</w:t>
      </w:r>
    </w:p>
    <w:p w:rsidR="00000000" w:rsidRPr="00BA62C5" w:rsidP="00BA62C5">
      <w:pPr>
        <w:pStyle w:val="ListBullet2"/>
      </w:pPr>
      <w:r w:rsidRPr="00BA62C5">
        <w:t>digestive</w:t>
      </w:r>
    </w:p>
    <w:p w:rsidR="00000000" w:rsidRPr="00BA62C5" w:rsidP="00BA62C5">
      <w:pPr>
        <w:pStyle w:val="ListBullet2"/>
      </w:pPr>
      <w:r w:rsidRPr="00BA62C5">
        <w:t>circulatory</w:t>
      </w:r>
    </w:p>
    <w:p w:rsidR="00000000" w:rsidRPr="00BA62C5" w:rsidP="00BA62C5">
      <w:pPr>
        <w:pStyle w:val="ListBullet2"/>
      </w:pPr>
      <w:r w:rsidRPr="00BA62C5">
        <w:t xml:space="preserve">respiratory </w:t>
      </w:r>
    </w:p>
    <w:p w:rsidR="00000000" w:rsidRPr="00BA62C5" w:rsidP="00BA62C5">
      <w:pPr>
        <w:pStyle w:val="ListBullet2"/>
      </w:pPr>
      <w:r w:rsidRPr="00BA62C5">
        <w:t>urinary</w:t>
      </w:r>
    </w:p>
    <w:p w:rsidR="00000000" w:rsidRPr="00BA62C5" w:rsidP="00BA62C5">
      <w:pPr>
        <w:pStyle w:val="ListBullet2"/>
      </w:pPr>
      <w:r w:rsidRPr="00BA62C5">
        <w:t xml:space="preserve">reproductive </w:t>
      </w:r>
    </w:p>
    <w:p w:rsidR="00000000" w:rsidRPr="00BA62C5" w:rsidP="00BA62C5">
      <w:pPr>
        <w:pStyle w:val="ListBullet2"/>
      </w:pPr>
      <w:r w:rsidRPr="00BA62C5">
        <w:t>nervous (including sensory)</w:t>
      </w:r>
    </w:p>
    <w:p w:rsidR="00000000" w:rsidRPr="00BA62C5" w:rsidP="00BA62C5">
      <w:pPr>
        <w:pStyle w:val="ListBullet2"/>
      </w:pPr>
      <w:r w:rsidRPr="00BA62C5">
        <w:t xml:space="preserve">endocrine </w:t>
      </w:r>
    </w:p>
    <w:p w:rsidR="00000000" w:rsidRPr="00BA62C5" w:rsidP="00BA62C5">
      <w:pPr>
        <w:pStyle w:val="ListBullet2"/>
      </w:pPr>
      <w:r w:rsidRPr="00BA62C5">
        <w:t xml:space="preserve">integumentary </w:t>
      </w:r>
    </w:p>
    <w:p w:rsidR="00000000" w:rsidRPr="00BA62C5" w:rsidP="00BA62C5">
      <w:pPr>
        <w:pStyle w:val="ListBullet2"/>
      </w:pPr>
      <w:r w:rsidRPr="00BA62C5">
        <w:t xml:space="preserve">lymphatic/immune </w:t>
      </w:r>
    </w:p>
    <w:p w:rsidR="00000000" w:rsidRPr="00BA62C5" w:rsidP="00BA62C5">
      <w:pPr>
        <w:pStyle w:val="ListBullet"/>
      </w:pPr>
      <w:r w:rsidRPr="00BA62C5">
        <w:t>name, function and key identifying structures of organs commonly sampled for pathological investigation</w:t>
      </w:r>
    </w:p>
    <w:p w:rsidR="00000000" w:rsidRPr="00BA62C5" w:rsidP="00BA62C5">
      <w:pPr>
        <w:pStyle w:val="ListBullet"/>
      </w:pPr>
      <w:r w:rsidRPr="00BA62C5">
        <w:t>name and function of types of tissue, including:</w:t>
      </w:r>
    </w:p>
    <w:p w:rsidR="00000000" w:rsidRPr="00BA62C5" w:rsidP="00BA62C5">
      <w:pPr>
        <w:pStyle w:val="ListBullet2"/>
      </w:pPr>
      <w:r w:rsidRPr="00BA62C5">
        <w:t>epithelial including subtypes</w:t>
      </w:r>
    </w:p>
    <w:p w:rsidR="00000000" w:rsidRPr="00BA62C5" w:rsidP="00BA62C5">
      <w:pPr>
        <w:pStyle w:val="ListBullet2"/>
      </w:pPr>
      <w:r w:rsidRPr="00BA62C5">
        <w:t>connective</w:t>
      </w:r>
    </w:p>
    <w:p w:rsidR="00000000" w:rsidRPr="00BA62C5" w:rsidP="00BA62C5">
      <w:pPr>
        <w:pStyle w:val="ListBullet2"/>
      </w:pPr>
      <w:r w:rsidRPr="00BA62C5">
        <w:t>muscular including subtypes</w:t>
      </w:r>
    </w:p>
    <w:p w:rsidR="00000000" w:rsidRPr="00BA62C5" w:rsidP="00BA62C5">
      <w:pPr>
        <w:pStyle w:val="ListBullet2"/>
      </w:pPr>
      <w:r w:rsidRPr="00BA62C5">
        <w:t>nervous</w:t>
      </w:r>
    </w:p>
    <w:p w:rsidR="00000000" w:rsidRPr="00BA62C5" w:rsidP="00BA62C5">
      <w:pPr>
        <w:pStyle w:val="ListBullet2"/>
      </w:pPr>
      <w:r w:rsidRPr="00BA62C5">
        <w:t>vascular including subtypes</w:t>
      </w:r>
    </w:p>
    <w:p w:rsidR="00000000" w:rsidRPr="00BA62C5" w:rsidP="00BA62C5">
      <w:pPr>
        <w:pStyle w:val="ListBullet2"/>
      </w:pPr>
      <w:r w:rsidRPr="00BA62C5">
        <w:t>glandular</w:t>
      </w:r>
    </w:p>
    <w:p w:rsidR="00000000" w:rsidRPr="00BA62C5" w:rsidP="00BA62C5">
      <w:pPr>
        <w:pStyle w:val="ListBullet2"/>
      </w:pPr>
      <w:r w:rsidRPr="00BA62C5">
        <w:t>lymphatic</w:t>
      </w:r>
    </w:p>
    <w:p w:rsidR="00000000" w:rsidRPr="00BA62C5" w:rsidP="00BA62C5">
      <w:pPr>
        <w:pStyle w:val="ListBullet"/>
      </w:pPr>
      <w:r w:rsidRPr="00BA62C5">
        <w:t>basic common cell types, their functions and locations, including:</w:t>
      </w:r>
    </w:p>
    <w:p w:rsidR="00000000" w:rsidRPr="00BA62C5" w:rsidP="00BA62C5">
      <w:pPr>
        <w:pStyle w:val="ListBullet2"/>
      </w:pPr>
      <w:r w:rsidRPr="00BA62C5">
        <w:t>histological</w:t>
      </w:r>
    </w:p>
    <w:p w:rsidR="00000000" w:rsidRPr="00BA62C5" w:rsidP="00BA62C5">
      <w:pPr>
        <w:pStyle w:val="ListBullet2"/>
      </w:pPr>
      <w:r w:rsidRPr="00BA62C5">
        <w:t>haematological</w:t>
      </w:r>
    </w:p>
    <w:p w:rsidR="00000000" w:rsidRPr="00BA62C5" w:rsidP="00BA62C5">
      <w:pPr>
        <w:pStyle w:val="ListBullet2"/>
      </w:pPr>
      <w:r w:rsidRPr="00BA62C5">
        <w:t>immunological</w:t>
      </w:r>
    </w:p>
    <w:p w:rsidR="00000000" w:rsidRPr="00BA62C5" w:rsidP="00BA62C5">
      <w:pPr>
        <w:pStyle w:val="ListBullet"/>
      </w:pPr>
      <w:r w:rsidRPr="00BA62C5">
        <w:t>basic pr</w:t>
      </w:r>
      <w:r w:rsidRPr="00BA62C5">
        <w:t xml:space="preserve">inciples of innate and acquired immunity as they relate the respiratory, urinary, digestive and lymphatic/immune system </w:t>
      </w:r>
    </w:p>
    <w:p w:rsidR="00000000" w:rsidRPr="00BA62C5" w:rsidP="00BA62C5">
      <w:pPr>
        <w:pStyle w:val="ListBullet"/>
      </w:pPr>
      <w:r w:rsidRPr="00BA62C5">
        <w:t>types of specimens and relating organs, including:</w:t>
      </w:r>
    </w:p>
    <w:p w:rsidR="00000000" w:rsidRPr="00BA62C5" w:rsidP="00BA62C5">
      <w:pPr>
        <w:pStyle w:val="ListBullet2"/>
      </w:pPr>
      <w:r w:rsidRPr="00BA62C5">
        <w:t>histological</w:t>
      </w:r>
    </w:p>
    <w:p w:rsidR="00000000" w:rsidRPr="00BA62C5" w:rsidP="00BA62C5">
      <w:pPr>
        <w:pStyle w:val="ListBullet3"/>
      </w:pPr>
      <w:r w:rsidRPr="00BA62C5">
        <w:t>formalin fixed tissue (punch biopsy, core biopsy, wedge biopsy, cytol</w:t>
      </w:r>
      <w:r w:rsidRPr="00BA62C5">
        <w:t>ogy, full organs)</w:t>
      </w:r>
    </w:p>
    <w:p w:rsidR="00000000" w:rsidRPr="00BA62C5" w:rsidP="00BA62C5">
      <w:pPr>
        <w:pStyle w:val="ListBullet3"/>
      </w:pPr>
      <w:r w:rsidRPr="00BA62C5">
        <w:t>fresh</w:t>
      </w:r>
    </w:p>
    <w:p w:rsidR="00000000" w:rsidRPr="00BA62C5" w:rsidP="00BA62C5">
      <w:pPr>
        <w:pStyle w:val="ListBullet2"/>
      </w:pPr>
      <w:r w:rsidRPr="00BA62C5">
        <w:t>microbiological, including:</w:t>
      </w:r>
    </w:p>
    <w:p w:rsidR="00000000" w:rsidRPr="00BA62C5" w:rsidP="00BA62C5">
      <w:pPr>
        <w:pStyle w:val="ListBullet3"/>
      </w:pPr>
      <w:r w:rsidRPr="00BA62C5">
        <w:t>fresh tissue</w:t>
      </w:r>
    </w:p>
    <w:p w:rsidR="00000000" w:rsidRPr="00BA62C5" w:rsidP="00BA62C5">
      <w:pPr>
        <w:pStyle w:val="ListBullet3"/>
      </w:pPr>
      <w:r w:rsidRPr="00BA62C5">
        <w:t>stool</w:t>
      </w:r>
    </w:p>
    <w:p w:rsidR="00000000" w:rsidRPr="00BA62C5" w:rsidP="00BA62C5">
      <w:pPr>
        <w:pStyle w:val="ListBullet3"/>
      </w:pPr>
      <w:r w:rsidRPr="00BA62C5">
        <w:t>body fluids:</w:t>
      </w:r>
    </w:p>
    <w:p w:rsidR="00000000" w:rsidRPr="00BA62C5" w:rsidP="00BA62C5">
      <w:pPr>
        <w:pStyle w:val="ListBullet4"/>
      </w:pPr>
      <w:r w:rsidRPr="00BA62C5">
        <w:t>blood</w:t>
      </w:r>
    </w:p>
    <w:p w:rsidR="00000000" w:rsidRPr="00BA62C5" w:rsidP="00BA62C5">
      <w:pPr>
        <w:pStyle w:val="ListBullet4"/>
      </w:pPr>
      <w:r w:rsidRPr="00BA62C5">
        <w:t>urine</w:t>
      </w:r>
    </w:p>
    <w:p w:rsidR="00000000" w:rsidRPr="00BA62C5" w:rsidP="00BA62C5">
      <w:pPr>
        <w:pStyle w:val="ListBullet4"/>
      </w:pPr>
      <w:r w:rsidRPr="00BA62C5">
        <w:t>sputum</w:t>
      </w:r>
    </w:p>
    <w:p w:rsidR="00000000" w:rsidRPr="00BA62C5" w:rsidP="00BA62C5">
      <w:pPr>
        <w:pStyle w:val="ListBullet4"/>
      </w:pPr>
      <w:r w:rsidRPr="00BA62C5">
        <w:t>swabs</w:t>
      </w:r>
    </w:p>
    <w:p w:rsidR="00000000" w:rsidRPr="00BA62C5" w:rsidP="00BA62C5">
      <w:pPr>
        <w:pStyle w:val="ListBullet4"/>
      </w:pPr>
      <w:r w:rsidRPr="00BA62C5">
        <w:t>cerebral spinal fluid (CSF)</w:t>
      </w:r>
    </w:p>
    <w:p w:rsidR="00000000" w:rsidRPr="00BA62C5" w:rsidP="00BA62C5">
      <w:pPr>
        <w:pStyle w:val="ListBullet2"/>
      </w:pPr>
      <w:r w:rsidRPr="00BA62C5">
        <w:t>haematological and immunohaematological, including:</w:t>
      </w:r>
    </w:p>
    <w:p w:rsidR="00000000" w:rsidRPr="00BA62C5" w:rsidP="00BA62C5">
      <w:pPr>
        <w:pStyle w:val="ListBullet3"/>
      </w:pPr>
      <w:r w:rsidRPr="00BA62C5">
        <w:t>blood products</w:t>
      </w:r>
    </w:p>
    <w:p w:rsidR="00000000" w:rsidRPr="00BA62C5" w:rsidP="00BA62C5">
      <w:pPr>
        <w:pStyle w:val="ListBullet3"/>
      </w:pPr>
      <w:r w:rsidRPr="00BA62C5">
        <w:t>bone marrow</w:t>
      </w:r>
    </w:p>
    <w:p w:rsidR="00000000" w:rsidRPr="00BA62C5" w:rsidP="00BA62C5">
      <w:pPr>
        <w:pStyle w:val="ListBullet2"/>
      </w:pPr>
      <w:r w:rsidRPr="00BA62C5">
        <w:t>biochemical, including:</w:t>
      </w:r>
    </w:p>
    <w:p w:rsidR="00000000" w:rsidRPr="00BA62C5" w:rsidP="00BA62C5">
      <w:pPr>
        <w:pStyle w:val="ListBullet3"/>
      </w:pPr>
      <w:r w:rsidRPr="00BA62C5">
        <w:t>whole blood</w:t>
      </w:r>
    </w:p>
    <w:p w:rsidR="00000000" w:rsidRPr="00BA62C5" w:rsidP="00BA62C5">
      <w:pPr>
        <w:pStyle w:val="ListBullet3"/>
      </w:pPr>
      <w:r w:rsidRPr="00BA62C5">
        <w:t>plasma</w:t>
      </w:r>
    </w:p>
    <w:p w:rsidR="00000000" w:rsidRPr="00BA62C5" w:rsidP="00BA62C5">
      <w:pPr>
        <w:pStyle w:val="ListBullet3"/>
      </w:pPr>
      <w:r w:rsidRPr="00BA62C5">
        <w:t>body fluids</w:t>
      </w:r>
    </w:p>
    <w:p w:rsidR="00000000" w:rsidRPr="00BA62C5" w:rsidP="00BA62C5">
      <w:pPr>
        <w:pStyle w:val="ListBullet"/>
      </w:pPr>
      <w:r w:rsidRPr="00BA62C5">
        <w:t>nature of precious specimens, including:</w:t>
      </w:r>
    </w:p>
    <w:p w:rsidR="00000000" w:rsidRPr="00BA62C5" w:rsidP="00BA62C5">
      <w:pPr>
        <w:pStyle w:val="ListBullet2"/>
      </w:pPr>
      <w:r w:rsidRPr="00BA62C5">
        <w:t>CSF</w:t>
      </w:r>
    </w:p>
    <w:p w:rsidR="00000000" w:rsidRPr="00BA62C5" w:rsidP="00BA62C5">
      <w:pPr>
        <w:pStyle w:val="ListBullet2"/>
      </w:pPr>
      <w:r w:rsidRPr="00BA62C5">
        <w:t>time sensitive</w:t>
      </w:r>
    </w:p>
    <w:p w:rsidR="00000000" w:rsidRPr="00BA62C5" w:rsidP="00BA62C5">
      <w:pPr>
        <w:pStyle w:val="ListBullet2"/>
      </w:pPr>
      <w:r w:rsidRPr="00BA62C5">
        <w:t>temperature sensitive</w:t>
      </w:r>
    </w:p>
    <w:p w:rsidR="00000000" w:rsidRPr="00BA62C5" w:rsidP="00BA62C5">
      <w:pPr>
        <w:pStyle w:val="ListBullet2"/>
      </w:pPr>
      <w:r w:rsidRPr="00BA62C5">
        <w:t>autopsy</w:t>
      </w:r>
    </w:p>
    <w:p w:rsidR="00000000" w:rsidRPr="00BA62C5" w:rsidP="00BA62C5">
      <w:pPr>
        <w:pStyle w:val="ListBullet"/>
      </w:pPr>
      <w:r w:rsidRPr="00BA62C5">
        <w:t>broad streams of disease as they relate to common sample types, including:</w:t>
      </w:r>
    </w:p>
    <w:p w:rsidR="00000000" w:rsidRPr="00BA62C5" w:rsidP="00BA62C5">
      <w:pPr>
        <w:pStyle w:val="ListBullet2"/>
      </w:pPr>
      <w:r w:rsidRPr="00BA62C5">
        <w:t>cancer</w:t>
      </w:r>
    </w:p>
    <w:p w:rsidR="00000000" w:rsidRPr="00BA62C5" w:rsidP="00BA62C5">
      <w:pPr>
        <w:pStyle w:val="ListBullet2"/>
      </w:pPr>
      <w:r w:rsidRPr="00BA62C5">
        <w:t>metabolic</w:t>
      </w:r>
    </w:p>
    <w:p w:rsidR="00000000" w:rsidRPr="00BA62C5" w:rsidP="00BA62C5">
      <w:pPr>
        <w:pStyle w:val="ListBullet2"/>
      </w:pPr>
      <w:r w:rsidRPr="00BA62C5">
        <w:t>microorganisms</w:t>
      </w:r>
    </w:p>
    <w:p w:rsidR="00000000" w:rsidRPr="00BA62C5" w:rsidP="00BA62C5">
      <w:pPr>
        <w:pStyle w:val="ListBullet2"/>
      </w:pPr>
      <w:r w:rsidRPr="00BA62C5">
        <w:t>hormonal</w:t>
      </w:r>
    </w:p>
    <w:p w:rsidR="00000000" w:rsidRPr="00BA62C5" w:rsidP="00BA62C5">
      <w:pPr>
        <w:pStyle w:val="ListBullet"/>
      </w:pPr>
      <w:r w:rsidRPr="00BA62C5">
        <w:t>roles of different transport media, coagulants and preservation fluids</w:t>
      </w:r>
    </w:p>
    <w:p w:rsidR="00000000" w:rsidRPr="00BA62C5" w:rsidP="00BA62C5">
      <w:pPr>
        <w:pStyle w:val="ListBullet"/>
      </w:pPr>
      <w:r w:rsidRPr="00BA62C5">
        <w:t>common abbreviations for medical and pharmacological terms, including:</w:t>
      </w:r>
    </w:p>
    <w:p w:rsidR="00000000" w:rsidRPr="00BA62C5" w:rsidP="00BA62C5">
      <w:pPr>
        <w:pStyle w:val="ListBullet2"/>
      </w:pPr>
      <w:r w:rsidRPr="00BA62C5">
        <w:t>for histology:  IF, EM, LM, IHC, HE and ISH</w:t>
      </w:r>
    </w:p>
    <w:p w:rsidR="00000000" w:rsidRPr="00BA62C5" w:rsidP="00BA62C5">
      <w:pPr>
        <w:pStyle w:val="ListBullet2"/>
      </w:pPr>
      <w:r w:rsidRPr="00BA62C5">
        <w:t>for microbiology: FEC, MSC, culture, sensitivity, CSF and MSU</w:t>
      </w:r>
    </w:p>
    <w:p w:rsidR="00000000" w:rsidRPr="00BA62C5" w:rsidP="00BA62C5">
      <w:pPr>
        <w:pStyle w:val="ListBullet2"/>
      </w:pPr>
      <w:r w:rsidRPr="00BA62C5">
        <w:t>for hae</w:t>
      </w:r>
      <w:r w:rsidRPr="00BA62C5">
        <w:t>matology: FBC, Hct, ESR, Coags and INR</w:t>
      </w:r>
    </w:p>
    <w:p w:rsidR="00B013FA" w:rsidP="00BA62C5">
      <w:pPr>
        <w:pStyle w:val="ListBullet2"/>
      </w:pPr>
      <w:r w:rsidRPr="00BA62C5">
        <w:t>for biochemistry: Disacc Fe, LFT, TFT, Chol, Trig, PSA, EUC and CEA.</w:t>
      </w:r>
    </w:p>
    <w:p w:rsidR="00B013FA" w:rsidP="00BA62C5">
      <w:pPr>
        <w:pStyle w:val="ListBullet2"/>
      </w:pPr>
    </w:p>
    <w:p w:rsidR="00000000" w:rsidRPr="00BA62C5" w:rsidP="00BA62C5">
      <w:pPr>
        <w:pStyle w:val="Heading1"/>
      </w:pPr>
      <w:bookmarkStart w:id="4" w:name="O_1258146"/>
      <w:bookmarkEnd w:id="4"/>
      <w:r w:rsidRPr="00BA62C5">
        <w:t>Assessment Conditions</w:t>
      </w:r>
    </w:p>
    <w:p w:rsidR="00000000" w:rsidRPr="00BA62C5" w:rsidP="00B013FA">
      <w:pPr>
        <w:pStyle w:val="BodyText"/>
      </w:pPr>
      <w:r w:rsidRPr="00BA62C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A62C5" w:rsidP="00BA62C5">
      <w:pPr>
        <w:pStyle w:val="ListBullet"/>
      </w:pPr>
      <w:r w:rsidRPr="00BA62C5">
        <w:t xml:space="preserve">use of suitable resources, including: </w:t>
      </w:r>
    </w:p>
    <w:p w:rsidR="00000000" w:rsidRPr="00BA62C5" w:rsidP="00BA62C5">
      <w:pPr>
        <w:pStyle w:val="ListBullet2"/>
      </w:pPr>
      <w:r w:rsidRPr="00BA62C5">
        <w:t xml:space="preserve">specimens covering fresh, </w:t>
      </w:r>
      <w:r w:rsidRPr="00BA62C5">
        <w:t>fixed and treated biological test samples from different body systems, organs, tissue types, cells and diseases.</w:t>
      </w:r>
    </w:p>
    <w:p w:rsidR="00B013FA" w:rsidP="00B013FA">
      <w:pPr>
        <w:pStyle w:val="BodyText"/>
      </w:pPr>
      <w:r w:rsidRPr="00BA62C5">
        <w:t>Assessors must satisfy the NVR/AQTF mandatory competency requirements for assessors.</w:t>
      </w:r>
    </w:p>
    <w:p w:rsidR="00000000" w:rsidRPr="00BA62C5" w:rsidP="00BA62C5">
      <w:pPr>
        <w:pStyle w:val="Heading1"/>
      </w:pPr>
      <w:bookmarkStart w:id="5" w:name="O_1258149"/>
      <w:bookmarkEnd w:id="5"/>
      <w:r w:rsidRPr="00BA62C5">
        <w:t>Links</w:t>
      </w:r>
    </w:p>
    <w:p w:rsidR="00000000" w:rsidRPr="00BA62C5" w:rsidP="00B013FA">
      <w:pPr>
        <w:pStyle w:val="BodyText"/>
      </w:pPr>
      <w:r w:rsidRPr="00BA62C5">
        <w:t>MSL Laboratory Operations Compan</w:t>
      </w:r>
      <w:r w:rsidRPr="00BA62C5">
        <w:t xml:space="preserve">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140E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A62C5" w:rsidP="00BA62C5"/>
    <w:sectPr w:rsidSect="00BA6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C5" w:rsidRPr="00B013FA" w:rsidP="00B01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FA" w:rsidP="00BA6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3FA" w:rsidP="00BA6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13FA" w:rsidP="00BA6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2C5" w:rsidRPr="00B013FA" w:rsidP="00B01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FA" w:rsidRPr="002D2AF8" w:rsidP="00BA6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MSL954006 Relate anatomical and physiological features to laboratory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013FA" w:rsidP="00BA6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D62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C0C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4C3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2C5"/>
  </w:style>
  <w:style w:type="character" w:customStyle="1" w:styleId="Heading1Char">
    <w:name w:val="Heading 1 Char"/>
    <w:basedOn w:val="DefaultParagraphFont"/>
    <w:link w:val="Heading1"/>
    <w:rsid w:val="00BA6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2C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62C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6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62C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2C5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BA6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2C5"/>
    <w:rPr>
      <w:b/>
      <w:spacing w:val="0"/>
    </w:rPr>
  </w:style>
  <w:style w:type="paragraph" w:customStyle="1" w:styleId="SuperTitle">
    <w:name w:val="SuperTitle"/>
    <w:basedOn w:val="Title"/>
    <w:rsid w:val="00BA6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2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2C5"/>
    <w:rPr>
      <w:i/>
    </w:rPr>
  </w:style>
  <w:style w:type="paragraph" w:styleId="Caption">
    <w:name w:val="caption"/>
    <w:basedOn w:val="BodyText"/>
    <w:next w:val="Normal"/>
    <w:qFormat/>
    <w:rsid w:val="00BA6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2C5"/>
  </w:style>
  <w:style w:type="paragraph" w:styleId="TableofFigures">
    <w:name w:val="table of figures"/>
    <w:basedOn w:val="Normal"/>
    <w:next w:val="Normal"/>
    <w:semiHidden/>
    <w:rsid w:val="00BA6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2C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A62C5"/>
    <w:rPr>
      <w:rFonts w:ascii="Wingdings" w:hAnsi="Wingdings"/>
    </w:rPr>
  </w:style>
  <w:style w:type="paragraph" w:customStyle="1" w:styleId="TableHeading">
    <w:name w:val="Table Heading"/>
    <w:basedOn w:val="HeadingBase"/>
    <w:rsid w:val="00BA6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2C5"/>
    <w:rPr>
      <w:color w:val="0033CC"/>
      <w:u w:val="none"/>
    </w:rPr>
  </w:style>
  <w:style w:type="paragraph" w:customStyle="1" w:styleId="BodyTextRight">
    <w:name w:val="Body Text Right"/>
    <w:basedOn w:val="BodyText"/>
    <w:rsid w:val="00BA6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2C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2C5"/>
    <w:rPr>
      <w:sz w:val="32"/>
    </w:rPr>
  </w:style>
  <w:style w:type="paragraph" w:customStyle="1" w:styleId="HeadingProcedure">
    <w:name w:val="Heading Procedure"/>
    <w:basedOn w:val="HeadingBase"/>
    <w:next w:val="Normal"/>
    <w:rsid w:val="00BA6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2C5"/>
    <w:pPr>
      <w:spacing w:before="60" w:after="60"/>
    </w:pPr>
  </w:style>
  <w:style w:type="paragraph" w:styleId="ListContinue">
    <w:name w:val="List Continue"/>
    <w:basedOn w:val="List"/>
    <w:rsid w:val="00BA62C5"/>
    <w:pPr>
      <w:ind w:firstLine="0"/>
    </w:pPr>
  </w:style>
  <w:style w:type="paragraph" w:customStyle="1" w:styleId="ListNote">
    <w:name w:val="List Note"/>
    <w:basedOn w:val="List"/>
    <w:rsid w:val="00BA6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2C5"/>
    <w:rPr>
      <w:rFonts w:ascii="Courier New" w:hAnsi="Courier New"/>
    </w:rPr>
  </w:style>
  <w:style w:type="paragraph" w:customStyle="1" w:styleId="NoteBullet">
    <w:name w:val="Note Bullet"/>
    <w:basedOn w:val="Note"/>
    <w:rsid w:val="00BA6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2C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A6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2C5"/>
    <w:rPr>
      <w:b/>
      <w:smallCaps/>
    </w:rPr>
  </w:style>
  <w:style w:type="paragraph" w:customStyle="1" w:styleId="TableListNumber">
    <w:name w:val="Table List Number"/>
    <w:basedOn w:val="ListNumber"/>
    <w:rsid w:val="00BA6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2C5"/>
    <w:pPr>
      <w:numPr>
        <w:numId w:val="11"/>
      </w:numPr>
    </w:pPr>
  </w:style>
  <w:style w:type="paragraph" w:customStyle="1" w:styleId="ListAlpha2">
    <w:name w:val="List Alpha 2"/>
    <w:basedOn w:val="List2"/>
    <w:rsid w:val="00BA62C5"/>
    <w:pPr>
      <w:numPr>
        <w:numId w:val="10"/>
      </w:numPr>
    </w:pPr>
  </w:style>
  <w:style w:type="paragraph" w:styleId="List2">
    <w:name w:val="List 2"/>
    <w:basedOn w:val="BodyText"/>
    <w:rsid w:val="00BA6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2C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A62C5"/>
    <w:pPr>
      <w:numPr>
        <w:numId w:val="6"/>
      </w:numPr>
    </w:pPr>
  </w:style>
  <w:style w:type="paragraph" w:styleId="ListContinue2">
    <w:name w:val="List Continue 2"/>
    <w:basedOn w:val="List2"/>
    <w:rsid w:val="00BA62C5"/>
    <w:pPr>
      <w:ind w:firstLine="0"/>
    </w:pPr>
  </w:style>
  <w:style w:type="paragraph" w:styleId="ListContinue3">
    <w:name w:val="List Continue 3"/>
    <w:basedOn w:val="List3"/>
    <w:rsid w:val="00BA62C5"/>
    <w:pPr>
      <w:ind w:left="1021" w:firstLine="0"/>
    </w:pPr>
  </w:style>
  <w:style w:type="paragraph" w:styleId="ListContinue4">
    <w:name w:val="List Continue 4"/>
    <w:basedOn w:val="List4"/>
    <w:rsid w:val="00BA62C5"/>
    <w:pPr>
      <w:ind w:firstLine="0"/>
    </w:pPr>
  </w:style>
  <w:style w:type="paragraph" w:styleId="ListContinue5">
    <w:name w:val="List Continue 5"/>
    <w:basedOn w:val="List5"/>
    <w:rsid w:val="00BA62C5"/>
    <w:pPr>
      <w:ind w:firstLine="0"/>
    </w:pPr>
  </w:style>
  <w:style w:type="paragraph" w:styleId="ListNumber3">
    <w:name w:val="List Number 3"/>
    <w:basedOn w:val="List3"/>
    <w:rsid w:val="00BA62C5"/>
    <w:pPr>
      <w:numPr>
        <w:numId w:val="7"/>
      </w:numPr>
    </w:pPr>
  </w:style>
  <w:style w:type="paragraph" w:styleId="ListNumber4">
    <w:name w:val="List Number 4"/>
    <w:basedOn w:val="List4"/>
    <w:rsid w:val="00BA62C5"/>
    <w:pPr>
      <w:numPr>
        <w:numId w:val="8"/>
      </w:numPr>
    </w:pPr>
  </w:style>
  <w:style w:type="paragraph" w:styleId="ListNumber5">
    <w:name w:val="List Number 5"/>
    <w:basedOn w:val="List5"/>
    <w:rsid w:val="00BA62C5"/>
    <w:pPr>
      <w:numPr>
        <w:numId w:val="9"/>
      </w:numPr>
    </w:pPr>
  </w:style>
  <w:style w:type="paragraph" w:styleId="BlockText">
    <w:name w:val="Block Text"/>
    <w:basedOn w:val="Normal"/>
    <w:rsid w:val="00BA6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2C5"/>
    <w:rPr>
      <w:sz w:val="16"/>
      <w:vertAlign w:val="superscript"/>
    </w:rPr>
  </w:style>
  <w:style w:type="character" w:customStyle="1" w:styleId="Symbols">
    <w:name w:val="Symbols"/>
    <w:basedOn w:val="DefaultParagraphFont"/>
    <w:rsid w:val="00BA62C5"/>
    <w:rPr>
      <w:rFonts w:ascii="Symbol" w:hAnsi="Symbol"/>
    </w:rPr>
  </w:style>
  <w:style w:type="character" w:customStyle="1" w:styleId="MenuOptions">
    <w:name w:val="Menu Options"/>
    <w:basedOn w:val="DefaultParagraphFont"/>
    <w:rsid w:val="00BA6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2C5"/>
    <w:rPr>
      <w:b/>
    </w:rPr>
  </w:style>
  <w:style w:type="character" w:customStyle="1" w:styleId="Underlined">
    <w:name w:val="Underlined"/>
    <w:basedOn w:val="DefaultParagraphFont"/>
    <w:rsid w:val="00BA62C5"/>
    <w:rPr>
      <w:u w:val="single"/>
    </w:rPr>
  </w:style>
  <w:style w:type="paragraph" w:customStyle="1" w:styleId="TableBodyTextRight">
    <w:name w:val="Table Body Text Right"/>
    <w:basedOn w:val="TableBodyText"/>
    <w:rsid w:val="00BA6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2C5"/>
    <w:rPr>
      <w:sz w:val="18"/>
    </w:rPr>
  </w:style>
  <w:style w:type="paragraph" w:customStyle="1" w:styleId="BodySmallRight">
    <w:name w:val="Body Small Right"/>
    <w:basedOn w:val="BodyTextRight"/>
    <w:rsid w:val="00BA62C5"/>
    <w:rPr>
      <w:sz w:val="18"/>
      <w:szCs w:val="18"/>
    </w:rPr>
  </w:style>
  <w:style w:type="paragraph" w:customStyle="1" w:styleId="MarginEdition">
    <w:name w:val="Margin Edition"/>
    <w:basedOn w:val="MarginNote"/>
    <w:rsid w:val="00BA6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2C5"/>
    <w:rPr>
      <w:sz w:val="2"/>
      <w:szCs w:val="2"/>
    </w:rPr>
  </w:style>
  <w:style w:type="character" w:customStyle="1" w:styleId="Small">
    <w:name w:val="Small"/>
    <w:basedOn w:val="DefaultParagraphFont"/>
    <w:rsid w:val="00BA62C5"/>
    <w:rPr>
      <w:sz w:val="16"/>
    </w:rPr>
  </w:style>
  <w:style w:type="paragraph" w:customStyle="1" w:styleId="WideTable">
    <w:name w:val="Wide Table"/>
    <w:basedOn w:val="Normal"/>
    <w:rsid w:val="00BA6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2C5"/>
  </w:style>
  <w:style w:type="paragraph" w:styleId="Quote">
    <w:name w:val="Quote"/>
    <w:basedOn w:val="Heading1"/>
    <w:link w:val="QuoteChar"/>
    <w:qFormat/>
    <w:rsid w:val="00BA6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2C5"/>
    <w:pPr>
      <w:pageBreakBefore/>
    </w:pPr>
  </w:style>
  <w:style w:type="paragraph" w:customStyle="1" w:styleId="Border">
    <w:name w:val="Border"/>
    <w:basedOn w:val="Normal"/>
    <w:qFormat/>
    <w:rsid w:val="00BA6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2C5"/>
    <w:rPr>
      <w:u w:val="single"/>
    </w:rPr>
  </w:style>
  <w:style w:type="character" w:customStyle="1" w:styleId="BoldandItalics">
    <w:name w:val="Bold and Italics"/>
    <w:qFormat/>
    <w:rsid w:val="00BA62C5"/>
    <w:rPr>
      <w:b/>
      <w:i/>
      <w:u w:val="none"/>
    </w:rPr>
  </w:style>
  <w:style w:type="paragraph" w:styleId="BalloonText">
    <w:name w:val="Balloon Text"/>
    <w:basedOn w:val="Normal"/>
    <w:link w:val="BalloonTextChar"/>
    <w:rsid w:val="00BA6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2C5"/>
    <w:pPr>
      <w:spacing w:before="0" w:after="0"/>
    </w:pPr>
  </w:style>
  <w:style w:type="paragraph" w:customStyle="1" w:styleId="BodyTextBold">
    <w:name w:val="Body Text Bold"/>
    <w:basedOn w:val="BodyText"/>
    <w:qFormat/>
    <w:rsid w:val="00BA62C5"/>
    <w:rPr>
      <w:b/>
    </w:rPr>
  </w:style>
  <w:style w:type="character" w:styleId="Hyperlink">
    <w:name w:val="Hyperlink"/>
    <w:basedOn w:val="DefaultParagraphFont"/>
    <w:uiPriority w:val="99"/>
    <w:unhideWhenUsed/>
    <w:rsid w:val="00B01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3272</Characters>
  <Application>Microsoft Office Word</Application>
  <DocSecurity>0</DocSecurity>
  <Lines>112</Lines>
  <Paragraphs>101</Paragraphs>
  <ScaleCrop>false</ScaleCrop>
  <Company>Author-it Software Corporation Ltd.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MSL954006 Relate anatomical and physiological features to laboratory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