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104" w:rsidP="00AF2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MSL954005 Prepare mineral samples for analysis</w:t>
      </w:r>
      <w:r>
        <w:fldChar w:fldCharType="end"/>
      </w:r>
    </w:p>
    <w:p w:rsidR="00AF2104" w:rsidP="00AF2104">
      <w:pPr>
        <w:pStyle w:val="Version"/>
        <w:sectPr w:rsidSect="00062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EE1" w:rsidP="00062EE1">
      <w:pPr>
        <w:pStyle w:val="SuperHeading"/>
      </w:pPr>
      <w:r w:rsidRPr="00062EE1">
        <w:t>MSL954005 Prepare mineral samples for analysis</w:t>
      </w:r>
    </w:p>
    <w:p w:rsidR="00000000" w:rsidRPr="00062EE1" w:rsidP="00062EE1">
      <w:pPr>
        <w:pStyle w:val="Heading1"/>
      </w:pPr>
      <w:bookmarkStart w:id="1" w:name="O_986229"/>
      <w:bookmarkEnd w:id="1"/>
      <w:r w:rsidRPr="00062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2EE1" w:rsidP="00062EE1">
            <w:pPr>
              <w:pStyle w:val="BodyText"/>
            </w:pPr>
            <w:r w:rsidRPr="00062EE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rPr>
                <w:rStyle w:val="SpecialBold"/>
              </w:rPr>
              <w:t>Comments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 xml:space="preserve">This version was released in </w:t>
            </w:r>
            <w:r w:rsidRPr="00062EE1">
              <w:rPr>
                <w:rStyle w:val="Emphasis"/>
              </w:rPr>
              <w:t>MSL Laboratory Operations Training Package Release 2.0.</w:t>
            </w:r>
          </w:p>
          <w:p w:rsidR="00000000" w:rsidRPr="00062EE1" w:rsidP="00062EE1">
            <w:pPr>
              <w:pStyle w:val="BodyText"/>
            </w:pPr>
            <w:r w:rsidRPr="00062EE1">
              <w:t>Supersedes and equivalent to MSL954002 Prepare mineral samples for analysis. Range of conditions removed. Assessme</w:t>
            </w:r>
            <w:r w:rsidRPr="00062EE1">
              <w:t>nt requirements amended.</w:t>
            </w:r>
          </w:p>
        </w:tc>
      </w:tr>
    </w:tbl>
    <w:p w:rsidR="00000000" w:rsidRPr="00062EE1" w:rsidP="00062EE1">
      <w:pPr>
        <w:pStyle w:val="BodyText"/>
      </w:pPr>
    </w:p>
    <w:p w:rsidR="00000000" w:rsidRPr="00062EE1" w:rsidP="00062EE1">
      <w:pPr>
        <w:pStyle w:val="AllowPageBreak"/>
      </w:pPr>
    </w:p>
    <w:p w:rsidR="00000000" w:rsidRPr="00062EE1" w:rsidP="00062EE1">
      <w:pPr>
        <w:pStyle w:val="Heading1"/>
      </w:pPr>
      <w:bookmarkStart w:id="2" w:name="O_986235"/>
      <w:bookmarkEnd w:id="2"/>
      <w:r w:rsidRPr="00062EE1">
        <w:t>Application</w:t>
      </w:r>
    </w:p>
    <w:p w:rsidR="00000000" w:rsidRPr="00062EE1" w:rsidP="00AF2104">
      <w:pPr>
        <w:pStyle w:val="BodyText"/>
      </w:pPr>
      <w:r w:rsidRPr="00062EE1">
        <w:t>The unit of competency describes the skills and knowledge to reduce given mineral samples to representative client samples and analytical portions that meet client requirements for analysis. Personnel</w:t>
      </w:r>
      <w:r w:rsidRPr="00062EE1">
        <w:t xml:space="preserve"> are also required to recognise problems and invalid preparation steps and take appropriate corrective actions.</w:t>
      </w:r>
    </w:p>
    <w:p w:rsidR="00000000" w:rsidRPr="00062EE1" w:rsidP="00AF2104">
      <w:pPr>
        <w:pStyle w:val="BodyText"/>
      </w:pPr>
      <w:r w:rsidRPr="00062EE1">
        <w:t>This unit applies to technical assistants working in the mineral assay and construction materials testing sectors.</w:t>
      </w:r>
    </w:p>
    <w:p w:rsidR="00000000" w:rsidRPr="00062EE1" w:rsidP="00AF2104">
      <w:pPr>
        <w:pStyle w:val="BodyText"/>
      </w:pPr>
      <w:r w:rsidRPr="00062EE1">
        <w:t>No licensing or certificati</w:t>
      </w:r>
      <w:r w:rsidRPr="00062EE1">
        <w:t>on requirements exist at the time of publication. However, regulations and/or external accreditation requirements for laboratory operations exist, so local requirements should be checked. Relevant legislation, industry standards and codes of practice withi</w:t>
      </w:r>
      <w:r w:rsidRPr="00062EE1">
        <w:t>n Australia must also be applied.</w:t>
      </w:r>
    </w:p>
    <w:p w:rsidR="00000000" w:rsidRPr="00062EE1" w:rsidP="00062EE1">
      <w:pPr>
        <w:pStyle w:val="Heading1"/>
      </w:pPr>
      <w:bookmarkStart w:id="3" w:name="O_986234"/>
      <w:bookmarkEnd w:id="3"/>
      <w:r w:rsidRPr="00062EE1">
        <w:t>Pre-requisite Unit</w:t>
      </w:r>
    </w:p>
    <w:p w:rsidR="00000000" w:rsidRPr="00062EE1" w:rsidP="00AF2104">
      <w:pPr>
        <w:pStyle w:val="BodyText"/>
      </w:pPr>
      <w:r w:rsidRPr="00062EE1">
        <w:t>Nil</w:t>
      </w:r>
    </w:p>
    <w:p w:rsidR="00000000" w:rsidRPr="00062EE1" w:rsidP="00062EE1">
      <w:pPr>
        <w:pStyle w:val="Heading1"/>
      </w:pPr>
      <w:bookmarkStart w:id="4" w:name="O_986233"/>
      <w:bookmarkEnd w:id="4"/>
      <w:r w:rsidRPr="00062EE1">
        <w:t>Competency Field</w:t>
      </w:r>
    </w:p>
    <w:p w:rsidR="00000000" w:rsidRPr="00062EE1" w:rsidP="00AF2104">
      <w:pPr>
        <w:pStyle w:val="BodyText"/>
      </w:pPr>
      <w:r w:rsidRPr="00062EE1">
        <w:t>Sampling</w:t>
      </w:r>
    </w:p>
    <w:p w:rsidR="00000000" w:rsidRPr="00062EE1" w:rsidP="00062EE1">
      <w:pPr>
        <w:pStyle w:val="Heading1"/>
      </w:pPr>
      <w:bookmarkStart w:id="5" w:name="O_986232"/>
      <w:bookmarkEnd w:id="5"/>
      <w:r w:rsidRPr="00062E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Performance criteria describe the performance needed to demonstrate achievement of the element.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rPr>
                <w:rStyle w:val="SpecialBold"/>
              </w:rPr>
              <w:t>Interpret and schedule client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Review client request to identify sample/analysis requirements, preparation methods and equipment involved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Inspect samples, compare with specifications, record and report any discrepancies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Liaise with client when samples and/or request forms do not comply with workplace procedures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Identify hazards, safety equipment and safe work procedures sp</w:t>
            </w:r>
            <w:r w:rsidRPr="00062EE1">
              <w:t>ecified for the sample, preparation methods, reagents and equipment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Plan parallel work sequences to optimise throughput of multiple sets of samples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Assemble all required equipment materials, reagents and check they are fit for purpose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rPr>
                <w:rStyle w:val="SpecialBold"/>
              </w:rPr>
              <w:t>Prepare client samples for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Estimate safe times for the preparation of required sample portions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Split samples to obtain representative sub-samples as required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 xml:space="preserve">Safely operate preparation equipment 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Monitor texture of the samples as an indicator of particle size and adjust milling times accordingly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Monitor sample compaction and build-up of residues on equipment and rectify as necessary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Record preparation difficulties that may impact on quality or cause additional client costs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Report any departure from preparation methods or client specifications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Label client samples and record chain of custody information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 xml:space="preserve">Store all client samples in accordance with workplace </w:t>
            </w:r>
            <w:r w:rsidRPr="00062EE1">
              <w:t xml:space="preserve">procedures 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rPr>
                <w:rStyle w:val="SpecialBold"/>
              </w:rPr>
              <w:t>Use non-destructive methods to prepare laboratory portions for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Examine the recommended preparation method to identify critical steps that will affect the quality of anal</w:t>
            </w:r>
            <w:r w:rsidRPr="00062EE1">
              <w:t>ytical results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Closely follow each preparation step with particular attention to safety, precision and minimisation of cross-contamination of samples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Monitor parameters that indicate completion or failure of each preparation step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Analyse and record invalid preparation steps and take corrective action before repeating the procedure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Present laboratory portions for analysis in appropriate containers with all required chain of custody documentation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Apply established safe work practices and use personal protective equipment (PPE) to ensure personal safety and that of other laboratory personnel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Minimise the generation of waste and environmental impacts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Ensure the safe disposal of all hazardous waste and spent or surplus samples</w:t>
            </w:r>
          </w:p>
        </w:tc>
      </w:tr>
      <w:tr w:rsidTr="00062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E1">
            <w:pPr>
              <w:pStyle w:val="BodyText"/>
              <w:rPr>
                <w:lang w:val="en-NZ"/>
              </w:rPr>
            </w:pPr>
            <w:r w:rsidRPr="00062EE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E1" w:rsidP="00062EE1">
            <w:pPr>
              <w:pStyle w:val="BodyText"/>
            </w:pPr>
            <w:r w:rsidRPr="00062EE1">
              <w:t>Clean, care for and store equipment and reagents as required</w:t>
            </w:r>
          </w:p>
        </w:tc>
      </w:tr>
    </w:tbl>
    <w:p w:rsidR="00000000" w:rsidRPr="00062EE1" w:rsidP="00062EE1">
      <w:pPr>
        <w:pStyle w:val="BodyText"/>
      </w:pPr>
    </w:p>
    <w:p w:rsidR="00000000" w:rsidRPr="00062EE1" w:rsidP="00062EE1">
      <w:pPr>
        <w:pStyle w:val="AllowPageBreak"/>
      </w:pPr>
    </w:p>
    <w:p w:rsidR="00000000" w:rsidRPr="00062EE1" w:rsidP="00062EE1">
      <w:pPr>
        <w:pStyle w:val="Heading1"/>
      </w:pPr>
      <w:bookmarkStart w:id="6" w:name="O_986231"/>
      <w:bookmarkEnd w:id="6"/>
      <w:r w:rsidRPr="00062EE1">
        <w:t>Foundation Skills</w:t>
      </w:r>
    </w:p>
    <w:p w:rsidR="00000000" w:rsidRPr="00062EE1" w:rsidP="00AF2104">
      <w:pPr>
        <w:pStyle w:val="BodyText"/>
      </w:pPr>
      <w:r w:rsidRPr="00062EE1">
        <w:t>This section describes those language, literacy, numeracy and employment skills that are essential to performance.</w:t>
      </w:r>
    </w:p>
    <w:p w:rsidR="00AF2104" w:rsidP="00AF2104">
      <w:pPr>
        <w:pStyle w:val="BodyText"/>
      </w:pPr>
      <w:r w:rsidRPr="00062EE1">
        <w:t>Foundation skills essential to performance are explicit in the performance criteria of this unit of competency.</w:t>
      </w:r>
    </w:p>
    <w:p w:rsidR="00000000" w:rsidRPr="00062EE1" w:rsidP="00062EE1">
      <w:pPr>
        <w:pStyle w:val="Heading1"/>
      </w:pPr>
      <w:bookmarkStart w:id="7" w:name="O_986230"/>
      <w:bookmarkEnd w:id="7"/>
      <w:r w:rsidRPr="00062EE1">
        <w:t>Unit Mappi</w:t>
      </w:r>
      <w:r w:rsidRPr="00062EE1">
        <w:t>ng Information</w:t>
      </w:r>
    </w:p>
    <w:p w:rsidR="00000000" w:rsidRPr="00062EE1" w:rsidP="00AF2104">
      <w:pPr>
        <w:pStyle w:val="BodyText"/>
      </w:pPr>
      <w:r w:rsidRPr="00062EE1">
        <w:t>Equivalent to MSL954002 Prepare mineral samples for analysis, Release 1.</w:t>
      </w:r>
    </w:p>
    <w:p w:rsidR="00000000" w:rsidRPr="00062EE1" w:rsidP="00062EE1">
      <w:pPr>
        <w:pStyle w:val="Heading1"/>
      </w:pPr>
      <w:bookmarkStart w:id="8" w:name="O_986223"/>
      <w:bookmarkEnd w:id="8"/>
      <w:r w:rsidRPr="00062EE1">
        <w:t>Links</w:t>
      </w:r>
    </w:p>
    <w:p w:rsidR="00000000" w:rsidRPr="00062EE1" w:rsidP="00AF2104">
      <w:pPr>
        <w:pStyle w:val="BodyText"/>
      </w:pPr>
      <w:r w:rsidRPr="00062EE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724C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62EE1" w:rsidP="00062EE1"/>
    <w:sectPr w:rsidSect="00062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E1" w:rsidRPr="00AF2104" w:rsidP="00AF2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04" w:rsidP="00062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104" w:rsidP="00062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104" w:rsidP="00062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EE1" w:rsidRPr="00AF2104" w:rsidP="00AF2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04" w:rsidRPr="002D2AF8" w:rsidP="00062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MSL954005 Prepare mineral samples for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F2104" w:rsidP="00062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EE1"/>
  </w:style>
  <w:style w:type="character" w:customStyle="1" w:styleId="Heading1Char">
    <w:name w:val="Heading 1 Char"/>
    <w:basedOn w:val="DefaultParagraphFont"/>
    <w:link w:val="Heading1"/>
    <w:rsid w:val="00062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E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2EE1"/>
    <w:rPr>
      <w:b/>
      <w:spacing w:val="0"/>
    </w:rPr>
  </w:style>
  <w:style w:type="character" w:styleId="Emphasis">
    <w:name w:val="Emphasis"/>
    <w:basedOn w:val="DefaultParagraphFont"/>
    <w:qFormat/>
    <w:rsid w:val="00062EE1"/>
    <w:rPr>
      <w:i/>
    </w:rPr>
  </w:style>
  <w:style w:type="paragraph" w:customStyle="1" w:styleId="SuperHeading">
    <w:name w:val="SuperHeading"/>
    <w:basedOn w:val="Normal"/>
    <w:rsid w:val="00062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E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2E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2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E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EE1"/>
  </w:style>
  <w:style w:type="paragraph" w:styleId="TableofFigures">
    <w:name w:val="table of figures"/>
    <w:basedOn w:val="Normal"/>
    <w:next w:val="Normal"/>
    <w:semiHidden/>
    <w:rsid w:val="00062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E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2EE1"/>
    <w:rPr>
      <w:rFonts w:ascii="Wingdings" w:hAnsi="Wingdings"/>
    </w:rPr>
  </w:style>
  <w:style w:type="paragraph" w:customStyle="1" w:styleId="TableHeading">
    <w:name w:val="Table Heading"/>
    <w:basedOn w:val="HeadingBase"/>
    <w:rsid w:val="00062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EE1"/>
    <w:rPr>
      <w:color w:val="0033CC"/>
      <w:u w:val="none"/>
    </w:rPr>
  </w:style>
  <w:style w:type="paragraph" w:customStyle="1" w:styleId="BodyTextRight">
    <w:name w:val="Body Text Right"/>
    <w:basedOn w:val="BodyText"/>
    <w:rsid w:val="00062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E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EE1"/>
    <w:rPr>
      <w:sz w:val="32"/>
    </w:rPr>
  </w:style>
  <w:style w:type="paragraph" w:customStyle="1" w:styleId="HeadingProcedure">
    <w:name w:val="Heading Procedure"/>
    <w:basedOn w:val="HeadingBase"/>
    <w:next w:val="Normal"/>
    <w:rsid w:val="00062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EE1"/>
    <w:pPr>
      <w:spacing w:before="60" w:after="60"/>
    </w:pPr>
  </w:style>
  <w:style w:type="paragraph" w:styleId="ListContinue">
    <w:name w:val="List Continue"/>
    <w:basedOn w:val="List"/>
    <w:rsid w:val="00062EE1"/>
    <w:pPr>
      <w:ind w:firstLine="0"/>
    </w:pPr>
  </w:style>
  <w:style w:type="paragraph" w:customStyle="1" w:styleId="ListNote">
    <w:name w:val="List Note"/>
    <w:basedOn w:val="List"/>
    <w:rsid w:val="00062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EE1"/>
    <w:rPr>
      <w:rFonts w:ascii="Courier New" w:hAnsi="Courier New"/>
    </w:rPr>
  </w:style>
  <w:style w:type="paragraph" w:customStyle="1" w:styleId="NoteBullet">
    <w:name w:val="Note Bullet"/>
    <w:basedOn w:val="Note"/>
    <w:rsid w:val="00062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E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2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EE1"/>
    <w:rPr>
      <w:b/>
      <w:smallCaps/>
    </w:rPr>
  </w:style>
  <w:style w:type="paragraph" w:customStyle="1" w:styleId="TableListNumber">
    <w:name w:val="Table List Number"/>
    <w:basedOn w:val="ListNumber"/>
    <w:rsid w:val="00062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EE1"/>
    <w:pPr>
      <w:numPr>
        <w:numId w:val="7"/>
      </w:numPr>
    </w:pPr>
  </w:style>
  <w:style w:type="paragraph" w:customStyle="1" w:styleId="ListAlpha2">
    <w:name w:val="List Alpha 2"/>
    <w:basedOn w:val="List2"/>
    <w:rsid w:val="00062EE1"/>
    <w:pPr>
      <w:numPr>
        <w:numId w:val="6"/>
      </w:numPr>
    </w:pPr>
  </w:style>
  <w:style w:type="paragraph" w:styleId="List2">
    <w:name w:val="List 2"/>
    <w:basedOn w:val="BodyText"/>
    <w:rsid w:val="00062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E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E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2EE1"/>
    <w:pPr>
      <w:numPr>
        <w:numId w:val="2"/>
      </w:numPr>
    </w:pPr>
  </w:style>
  <w:style w:type="paragraph" w:styleId="ListContinue2">
    <w:name w:val="List Continue 2"/>
    <w:basedOn w:val="List2"/>
    <w:rsid w:val="00062EE1"/>
    <w:pPr>
      <w:ind w:firstLine="0"/>
    </w:pPr>
  </w:style>
  <w:style w:type="paragraph" w:styleId="ListContinue3">
    <w:name w:val="List Continue 3"/>
    <w:basedOn w:val="List3"/>
    <w:rsid w:val="00062EE1"/>
    <w:pPr>
      <w:ind w:left="1021" w:firstLine="0"/>
    </w:pPr>
  </w:style>
  <w:style w:type="paragraph" w:styleId="ListContinue4">
    <w:name w:val="List Continue 4"/>
    <w:basedOn w:val="List4"/>
    <w:rsid w:val="00062EE1"/>
    <w:pPr>
      <w:ind w:firstLine="0"/>
    </w:pPr>
  </w:style>
  <w:style w:type="paragraph" w:styleId="ListContinue5">
    <w:name w:val="List Continue 5"/>
    <w:basedOn w:val="List5"/>
    <w:rsid w:val="00062EE1"/>
    <w:pPr>
      <w:ind w:firstLine="0"/>
    </w:pPr>
  </w:style>
  <w:style w:type="paragraph" w:styleId="ListNumber3">
    <w:name w:val="List Number 3"/>
    <w:basedOn w:val="List3"/>
    <w:rsid w:val="00062EE1"/>
    <w:pPr>
      <w:numPr>
        <w:numId w:val="3"/>
      </w:numPr>
    </w:pPr>
  </w:style>
  <w:style w:type="paragraph" w:styleId="ListNumber4">
    <w:name w:val="List Number 4"/>
    <w:basedOn w:val="List4"/>
    <w:rsid w:val="00062EE1"/>
    <w:pPr>
      <w:numPr>
        <w:numId w:val="4"/>
      </w:numPr>
    </w:pPr>
  </w:style>
  <w:style w:type="paragraph" w:styleId="ListNumber5">
    <w:name w:val="List Number 5"/>
    <w:basedOn w:val="List5"/>
    <w:rsid w:val="00062EE1"/>
    <w:pPr>
      <w:numPr>
        <w:numId w:val="5"/>
      </w:numPr>
    </w:pPr>
  </w:style>
  <w:style w:type="paragraph" w:styleId="BlockText">
    <w:name w:val="Block Text"/>
    <w:basedOn w:val="Normal"/>
    <w:rsid w:val="00062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EE1"/>
    <w:rPr>
      <w:sz w:val="16"/>
      <w:vertAlign w:val="superscript"/>
    </w:rPr>
  </w:style>
  <w:style w:type="character" w:customStyle="1" w:styleId="Symbols">
    <w:name w:val="Symbols"/>
    <w:basedOn w:val="DefaultParagraphFont"/>
    <w:rsid w:val="00062EE1"/>
    <w:rPr>
      <w:rFonts w:ascii="Symbol" w:hAnsi="Symbol"/>
    </w:rPr>
  </w:style>
  <w:style w:type="character" w:customStyle="1" w:styleId="MenuOptions">
    <w:name w:val="Menu Options"/>
    <w:basedOn w:val="DefaultParagraphFont"/>
    <w:rsid w:val="00062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EE1"/>
    <w:rPr>
      <w:b/>
    </w:rPr>
  </w:style>
  <w:style w:type="character" w:customStyle="1" w:styleId="Underlined">
    <w:name w:val="Underlined"/>
    <w:basedOn w:val="DefaultParagraphFont"/>
    <w:rsid w:val="00062EE1"/>
    <w:rPr>
      <w:u w:val="single"/>
    </w:rPr>
  </w:style>
  <w:style w:type="paragraph" w:customStyle="1" w:styleId="TableBodyTextRight">
    <w:name w:val="Table Body Text Right"/>
    <w:basedOn w:val="TableBodyText"/>
    <w:rsid w:val="00062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EE1"/>
    <w:rPr>
      <w:sz w:val="18"/>
    </w:rPr>
  </w:style>
  <w:style w:type="paragraph" w:customStyle="1" w:styleId="BodySmallRight">
    <w:name w:val="Body Small Right"/>
    <w:basedOn w:val="BodyTextRight"/>
    <w:rsid w:val="00062EE1"/>
    <w:rPr>
      <w:sz w:val="18"/>
      <w:szCs w:val="18"/>
    </w:rPr>
  </w:style>
  <w:style w:type="paragraph" w:customStyle="1" w:styleId="MarginEdition">
    <w:name w:val="Margin Edition"/>
    <w:basedOn w:val="MarginNote"/>
    <w:rsid w:val="00062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EE1"/>
    <w:rPr>
      <w:sz w:val="2"/>
      <w:szCs w:val="2"/>
    </w:rPr>
  </w:style>
  <w:style w:type="character" w:customStyle="1" w:styleId="Small">
    <w:name w:val="Small"/>
    <w:basedOn w:val="DefaultParagraphFont"/>
    <w:rsid w:val="00062EE1"/>
    <w:rPr>
      <w:sz w:val="16"/>
    </w:rPr>
  </w:style>
  <w:style w:type="paragraph" w:customStyle="1" w:styleId="WideTable">
    <w:name w:val="Wide Table"/>
    <w:basedOn w:val="Normal"/>
    <w:rsid w:val="00062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EE1"/>
  </w:style>
  <w:style w:type="paragraph" w:styleId="Quote">
    <w:name w:val="Quote"/>
    <w:basedOn w:val="Heading1"/>
    <w:link w:val="QuoteChar"/>
    <w:qFormat/>
    <w:rsid w:val="00062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EE1"/>
    <w:pPr>
      <w:pageBreakBefore/>
    </w:pPr>
  </w:style>
  <w:style w:type="paragraph" w:customStyle="1" w:styleId="Border">
    <w:name w:val="Border"/>
    <w:basedOn w:val="Normal"/>
    <w:qFormat/>
    <w:rsid w:val="00062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EE1"/>
    <w:rPr>
      <w:u w:val="single"/>
    </w:rPr>
  </w:style>
  <w:style w:type="character" w:customStyle="1" w:styleId="BoldandItalics">
    <w:name w:val="Bold and Italics"/>
    <w:qFormat/>
    <w:rsid w:val="00062EE1"/>
    <w:rPr>
      <w:b/>
      <w:i/>
      <w:u w:val="none"/>
    </w:rPr>
  </w:style>
  <w:style w:type="paragraph" w:styleId="BalloonText">
    <w:name w:val="Balloon Text"/>
    <w:basedOn w:val="Normal"/>
    <w:link w:val="BalloonTextChar"/>
    <w:rsid w:val="00062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EE1"/>
    <w:pPr>
      <w:spacing w:before="0" w:after="0"/>
    </w:pPr>
  </w:style>
  <w:style w:type="paragraph" w:customStyle="1" w:styleId="BodyTextBold">
    <w:name w:val="Body Text Bold"/>
    <w:basedOn w:val="BodyText"/>
    <w:qFormat/>
    <w:rsid w:val="00062EE1"/>
    <w:rPr>
      <w:b/>
    </w:rPr>
  </w:style>
  <w:style w:type="character" w:styleId="Hyperlink">
    <w:name w:val="Hyperlink"/>
    <w:basedOn w:val="DefaultParagraphFont"/>
    <w:uiPriority w:val="99"/>
    <w:unhideWhenUsed/>
    <w:rsid w:val="00AF2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3924</Characters>
  <Application>Microsoft Office Word</Application>
  <DocSecurity>0</DocSecurity>
  <Lines>218</Lines>
  <Paragraphs>100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MSL954005 Prepare mineral samples for analysis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2022-12-20T00:00:00Z</dcterms:created>
  <dcterms:modified xsi:type="dcterms:W3CDTF">2022-12-20T00:00:00Z</dcterms:modified>
</cp:coreProperties>
</file>