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B10" w:rsidP="00186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MSL954005 Prepare mineral samples for analysis</w:t>
      </w:r>
      <w:r>
        <w:fldChar w:fldCharType="end"/>
      </w:r>
    </w:p>
    <w:p w:rsidR="00186B10" w:rsidP="00186B10">
      <w:pPr>
        <w:pStyle w:val="Version"/>
        <w:sectPr w:rsidSect="00BA0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9E5" w:rsidP="00BA09E5">
      <w:pPr>
        <w:pStyle w:val="SuperHeading"/>
      </w:pPr>
      <w:r w:rsidRPr="00BA09E5">
        <w:t>Assessment Requirements for MSL954005 Prepare mineral samples for analysis</w:t>
      </w:r>
    </w:p>
    <w:p w:rsidR="00000000" w:rsidRPr="00BA09E5" w:rsidP="00BA09E5">
      <w:pPr>
        <w:pStyle w:val="Heading1"/>
      </w:pPr>
      <w:bookmarkStart w:id="1" w:name="O_986225"/>
      <w:bookmarkEnd w:id="1"/>
      <w:r w:rsidRPr="00BA0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A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9E5" w:rsidP="00BA09E5">
            <w:pPr>
              <w:pStyle w:val="BodyText"/>
            </w:pPr>
            <w:r w:rsidRPr="00BA09E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9E5">
            <w:pPr>
              <w:pStyle w:val="BodyText"/>
              <w:rPr>
                <w:lang w:val="en-NZ"/>
              </w:rPr>
            </w:pPr>
            <w:r w:rsidRPr="00BA09E5">
              <w:rPr>
                <w:rStyle w:val="SpecialBold"/>
              </w:rPr>
              <w:t>Comments</w:t>
            </w:r>
          </w:p>
        </w:tc>
      </w:tr>
      <w:tr w:rsidTr="00BA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9E5">
            <w:pPr>
              <w:pStyle w:val="BodyText"/>
              <w:rPr>
                <w:lang w:val="en-NZ"/>
              </w:rPr>
            </w:pPr>
            <w:r w:rsidRPr="00BA09E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9E5" w:rsidP="00BA09E5">
            <w:pPr>
              <w:pStyle w:val="BodyText"/>
            </w:pPr>
            <w:r w:rsidRPr="00BA09E5">
              <w:t xml:space="preserve">This version was released in </w:t>
            </w:r>
            <w:r w:rsidRPr="00BA09E5">
              <w:rPr>
                <w:rStyle w:val="Emphasis"/>
              </w:rPr>
              <w:t>MSL Laboratory Operations Training Package Release 2.0.</w:t>
            </w:r>
          </w:p>
          <w:p w:rsidR="00000000" w:rsidRPr="00BA09E5" w:rsidP="00BA09E5">
            <w:pPr>
              <w:pStyle w:val="BodyText"/>
            </w:pPr>
            <w:r w:rsidRPr="00BA09E5">
              <w:t>Supersedes and equivalent to MSL954002 Prepare mineral samples for analysis. Range of conditions removed. Assessment requirements amended.</w:t>
            </w:r>
          </w:p>
        </w:tc>
      </w:tr>
    </w:tbl>
    <w:p w:rsidR="00000000" w:rsidRPr="00BA09E5" w:rsidP="00BA09E5">
      <w:pPr>
        <w:pStyle w:val="BodyText"/>
      </w:pPr>
    </w:p>
    <w:p w:rsidR="00000000" w:rsidRPr="00BA09E5" w:rsidP="00BA09E5">
      <w:pPr>
        <w:pStyle w:val="AllowPageBreak"/>
      </w:pPr>
    </w:p>
    <w:p w:rsidR="00000000" w:rsidRPr="00BA09E5" w:rsidP="00BA09E5">
      <w:pPr>
        <w:pStyle w:val="Heading1"/>
      </w:pPr>
      <w:bookmarkStart w:id="2" w:name="O_986228"/>
      <w:bookmarkEnd w:id="2"/>
      <w:r w:rsidRPr="00BA09E5">
        <w:t>Performance Evidence</w:t>
      </w:r>
    </w:p>
    <w:p w:rsidR="00000000" w:rsidRPr="00BA09E5" w:rsidP="00186B10">
      <w:pPr>
        <w:pStyle w:val="BodyText"/>
      </w:pPr>
      <w:r w:rsidRPr="00BA09E5">
        <w:t xml:space="preserve">There must be evidence the candidate has completed the tasks outlined in the </w:t>
      </w:r>
      <w:r w:rsidRPr="00BA09E5">
        <w:t>elements and performance criteria of this unit, and:</w:t>
      </w:r>
    </w:p>
    <w:p w:rsidR="00000000" w:rsidRPr="00BA09E5" w:rsidP="00BA09E5">
      <w:pPr>
        <w:pStyle w:val="ListBullet"/>
      </w:pPr>
      <w:r w:rsidRPr="00BA09E5">
        <w:t>safely reduced at least 3 types of mineral samples to representative samples and prepared analytical portions of each that meet client requirements. Portions must be:</w:t>
      </w:r>
    </w:p>
    <w:p w:rsidR="00000000" w:rsidRPr="00BA09E5" w:rsidP="00BA09E5">
      <w:pPr>
        <w:pStyle w:val="ListBullet2"/>
      </w:pPr>
      <w:r w:rsidRPr="00BA09E5">
        <w:t>representative</w:t>
      </w:r>
    </w:p>
    <w:p w:rsidR="00000000" w:rsidRPr="00BA09E5" w:rsidP="00BA09E5">
      <w:pPr>
        <w:pStyle w:val="ListBullet2"/>
      </w:pPr>
      <w:r w:rsidRPr="00BA09E5">
        <w:t>free of contamination</w:t>
      </w:r>
    </w:p>
    <w:p w:rsidR="00000000" w:rsidRPr="00BA09E5" w:rsidP="00BA09E5">
      <w:pPr>
        <w:pStyle w:val="ListBullet2"/>
      </w:pPr>
      <w:r w:rsidRPr="00BA09E5">
        <w:t>of specified quantity and particle size</w:t>
      </w:r>
    </w:p>
    <w:p w:rsidR="00000000" w:rsidRPr="00BA09E5" w:rsidP="00BA09E5">
      <w:pPr>
        <w:pStyle w:val="ListBullet2"/>
      </w:pPr>
      <w:r w:rsidRPr="00BA09E5">
        <w:t>ready for analysis.</w:t>
      </w:r>
    </w:p>
    <w:p w:rsidR="00000000" w:rsidRPr="00BA09E5" w:rsidP="00BA09E5">
      <w:pPr>
        <w:pStyle w:val="AllowPageBreak"/>
      </w:pPr>
    </w:p>
    <w:p w:rsidR="00000000" w:rsidRPr="00BA09E5" w:rsidP="00BA09E5">
      <w:pPr>
        <w:pStyle w:val="Heading1"/>
      </w:pPr>
      <w:bookmarkStart w:id="3" w:name="O_986227"/>
      <w:bookmarkEnd w:id="3"/>
      <w:r w:rsidRPr="00BA09E5">
        <w:t>Knowledge Evidence</w:t>
      </w:r>
    </w:p>
    <w:p w:rsidR="00000000" w:rsidRPr="00BA09E5" w:rsidP="00186B10">
      <w:pPr>
        <w:pStyle w:val="BodyText"/>
      </w:pPr>
      <w:r w:rsidRPr="00BA09E5">
        <w:t>There must be evidence the candidate has knowledge of:</w:t>
      </w:r>
    </w:p>
    <w:p w:rsidR="00000000" w:rsidRPr="00BA09E5" w:rsidP="00BA09E5">
      <w:pPr>
        <w:pStyle w:val="ListBullet"/>
      </w:pPr>
      <w:r w:rsidRPr="00BA09E5">
        <w:t>geological properties of samples used in job role, including sulphides, oxides and</w:t>
      </w:r>
      <w:r w:rsidRPr="00BA09E5">
        <w:t xml:space="preserve"> silicates</w:t>
      </w:r>
    </w:p>
    <w:p w:rsidR="00000000" w:rsidRPr="00BA09E5" w:rsidP="00BA09E5">
      <w:pPr>
        <w:pStyle w:val="ListBullet"/>
      </w:pPr>
      <w:r w:rsidRPr="00BA09E5">
        <w:t>typical materials sampled include:</w:t>
      </w:r>
    </w:p>
    <w:p w:rsidR="00000000" w:rsidRPr="00BA09E5" w:rsidP="00BA09E5">
      <w:pPr>
        <w:pStyle w:val="ListBullet2"/>
      </w:pPr>
      <w:r w:rsidRPr="00BA09E5">
        <w:t>solids, such as rocks, minerals, soils, sands and stream sediments</w:t>
      </w:r>
    </w:p>
    <w:p w:rsidR="00000000" w:rsidRPr="00BA09E5" w:rsidP="00BA09E5">
      <w:pPr>
        <w:pStyle w:val="ListBullet2"/>
      </w:pPr>
      <w:r w:rsidRPr="00BA09E5">
        <w:t>pulverised core and other drill samples, such as rotary air blast (RAB), reverse circulation (RC) and aircore samples</w:t>
      </w:r>
    </w:p>
    <w:p w:rsidR="00000000" w:rsidRPr="00BA09E5" w:rsidP="00BA09E5">
      <w:pPr>
        <w:pStyle w:val="ListBullet2"/>
      </w:pPr>
      <w:r w:rsidRPr="00BA09E5">
        <w:t>powder concentrates</w:t>
      </w:r>
    </w:p>
    <w:p w:rsidR="00000000" w:rsidRPr="00BA09E5" w:rsidP="00BA09E5">
      <w:pPr>
        <w:pStyle w:val="ListBullet2"/>
      </w:pPr>
      <w:r w:rsidRPr="00BA09E5">
        <w:t>dump</w:t>
      </w:r>
      <w:r w:rsidRPr="00BA09E5">
        <w:t xml:space="preserve"> samples and grab samples</w:t>
      </w:r>
    </w:p>
    <w:p w:rsidR="00000000" w:rsidRPr="00BA09E5" w:rsidP="00BA09E5">
      <w:pPr>
        <w:pStyle w:val="ListBullet"/>
      </w:pPr>
      <w:r w:rsidRPr="00BA09E5">
        <w:t>sample preparation methods:</w:t>
      </w:r>
    </w:p>
    <w:p w:rsidR="00000000" w:rsidRPr="00BA09E5" w:rsidP="00BA09E5">
      <w:pPr>
        <w:pStyle w:val="ListBullet2"/>
      </w:pPr>
      <w:r w:rsidRPr="00BA09E5">
        <w:t xml:space="preserve">sorting, boxing and drying </w:t>
      </w:r>
    </w:p>
    <w:p w:rsidR="00000000" w:rsidRPr="00BA09E5" w:rsidP="00BA09E5">
      <w:pPr>
        <w:pStyle w:val="ListBullet2"/>
      </w:pPr>
      <w:r w:rsidRPr="00BA09E5">
        <w:t>sieving</w:t>
      </w:r>
    </w:p>
    <w:p w:rsidR="00000000" w:rsidRPr="00BA09E5" w:rsidP="00BA09E5">
      <w:pPr>
        <w:pStyle w:val="ListBullet2"/>
      </w:pPr>
      <w:r w:rsidRPr="00BA09E5">
        <w:t>primary crushing (e.g. 10 mm, 2 mm)</w:t>
      </w:r>
    </w:p>
    <w:p w:rsidR="00000000" w:rsidRPr="00BA09E5" w:rsidP="00BA09E5">
      <w:pPr>
        <w:pStyle w:val="ListBullet2"/>
      </w:pPr>
      <w:r w:rsidRPr="00BA09E5">
        <w:t>fine pulverising (e.g. 100 micron, 75 micron)</w:t>
      </w:r>
    </w:p>
    <w:p w:rsidR="00000000" w:rsidRPr="00BA09E5" w:rsidP="00BA09E5">
      <w:pPr>
        <w:pStyle w:val="ListBullet2"/>
      </w:pPr>
      <w:r w:rsidRPr="00BA09E5">
        <w:t>partial digestion requiring separation (e.g. aqua regia)</w:t>
      </w:r>
    </w:p>
    <w:p w:rsidR="00000000" w:rsidRPr="00BA09E5" w:rsidP="00BA09E5">
      <w:pPr>
        <w:pStyle w:val="ListBullet2"/>
      </w:pPr>
      <w:r w:rsidRPr="00BA09E5">
        <w:t>complete digestion (e.g. multi-acid digest)</w:t>
      </w:r>
    </w:p>
    <w:p w:rsidR="00000000" w:rsidRPr="00BA09E5" w:rsidP="00BA09E5">
      <w:pPr>
        <w:pStyle w:val="ListBullet2"/>
      </w:pPr>
      <w:r w:rsidRPr="00BA09E5">
        <w:t>non-destructive (e.g. LIF, Li2B4O7 disks)</w:t>
      </w:r>
    </w:p>
    <w:p w:rsidR="00000000" w:rsidRPr="00BA09E5" w:rsidP="00BA09E5">
      <w:pPr>
        <w:pStyle w:val="ListBullet"/>
      </w:pPr>
      <w:r w:rsidRPr="00BA09E5">
        <w:t>critical preparation steps that determine analytical accuracy and precision, including:</w:t>
      </w:r>
    </w:p>
    <w:p w:rsidR="00000000" w:rsidRPr="00BA09E5" w:rsidP="00BA09E5">
      <w:pPr>
        <w:pStyle w:val="ListBullet2"/>
      </w:pPr>
      <w:r w:rsidRPr="00BA09E5">
        <w:t>monitoring drying (incipient and total)</w:t>
      </w:r>
    </w:p>
    <w:p w:rsidR="00000000" w:rsidRPr="00BA09E5" w:rsidP="00BA09E5">
      <w:pPr>
        <w:pStyle w:val="ListBullet2"/>
      </w:pPr>
      <w:r w:rsidRPr="00BA09E5">
        <w:t>mixing to ensure homogeneity before sub-</w:t>
      </w:r>
      <w:r w:rsidRPr="00BA09E5">
        <w:t>sampling</w:t>
      </w:r>
    </w:p>
    <w:p w:rsidR="00000000" w:rsidRPr="00BA09E5" w:rsidP="00BA09E5">
      <w:pPr>
        <w:pStyle w:val="ListBullet2"/>
      </w:pPr>
      <w:r w:rsidRPr="00BA09E5">
        <w:t>suitability of reagents for purpose (e.g. dryness)</w:t>
      </w:r>
    </w:p>
    <w:p w:rsidR="00000000" w:rsidRPr="00BA09E5" w:rsidP="00BA09E5">
      <w:pPr>
        <w:pStyle w:val="ListBullet2"/>
      </w:pPr>
      <w:r w:rsidRPr="00BA09E5">
        <w:t>accurate operation of dispensers and balances</w:t>
      </w:r>
    </w:p>
    <w:p w:rsidR="00000000" w:rsidRPr="00BA09E5" w:rsidP="00BA09E5">
      <w:pPr>
        <w:pStyle w:val="ListBullet2"/>
      </w:pPr>
      <w:r w:rsidRPr="00BA09E5">
        <w:t>critical/non-critical volumes and critical reagent quantities</w:t>
      </w:r>
    </w:p>
    <w:p w:rsidR="00000000" w:rsidRPr="00BA09E5" w:rsidP="00BA09E5">
      <w:pPr>
        <w:pStyle w:val="ListBullet2"/>
      </w:pPr>
      <w:r w:rsidRPr="00BA09E5">
        <w:t>temperature control during digests</w:t>
      </w:r>
    </w:p>
    <w:p w:rsidR="00000000" w:rsidRPr="00BA09E5" w:rsidP="00BA09E5">
      <w:pPr>
        <w:pStyle w:val="ListBullet2"/>
      </w:pPr>
      <w:r w:rsidRPr="00BA09E5">
        <w:t>loss of solution prior to/after mixing</w:t>
      </w:r>
    </w:p>
    <w:p w:rsidR="00000000" w:rsidRPr="00BA09E5" w:rsidP="00BA09E5">
      <w:pPr>
        <w:pStyle w:val="ListBullet2"/>
      </w:pPr>
      <w:r w:rsidRPr="00BA09E5">
        <w:t>type and acid strength in final solutions</w:t>
      </w:r>
    </w:p>
    <w:p w:rsidR="00000000" w:rsidRPr="00BA09E5" w:rsidP="00BA09E5">
      <w:pPr>
        <w:pStyle w:val="ListBullet2"/>
      </w:pPr>
      <w:r w:rsidRPr="00BA09E5">
        <w:t>mechanical loss of digest (sputtering, residues on glassware/plastic ware and filtering)</w:t>
      </w:r>
    </w:p>
    <w:p w:rsidR="00000000" w:rsidRPr="00BA09E5" w:rsidP="00BA09E5">
      <w:pPr>
        <w:pStyle w:val="ListBullet"/>
      </w:pPr>
      <w:r w:rsidRPr="00BA09E5">
        <w:t>terminology, including homogeneous, heterogeneous, integrity and segregation</w:t>
      </w:r>
    </w:p>
    <w:p w:rsidR="00000000" w:rsidRPr="00BA09E5" w:rsidP="00BA09E5">
      <w:pPr>
        <w:pStyle w:val="ListBullet"/>
      </w:pPr>
      <w:r w:rsidRPr="00BA09E5">
        <w:t>distribution of common analytes in a matrix</w:t>
      </w:r>
    </w:p>
    <w:p w:rsidR="00000000" w:rsidRPr="00BA09E5" w:rsidP="00BA09E5">
      <w:pPr>
        <w:pStyle w:val="ListBullet"/>
      </w:pPr>
      <w:r w:rsidRPr="00BA09E5">
        <w:t>che</w:t>
      </w:r>
      <w:r w:rsidRPr="00BA09E5">
        <w:t>mical reactions associated with common preparation methods used in job role</w:t>
      </w:r>
    </w:p>
    <w:p w:rsidR="00000000" w:rsidRPr="00BA09E5" w:rsidP="00BA09E5">
      <w:pPr>
        <w:pStyle w:val="ListBullet"/>
      </w:pPr>
      <w:r w:rsidRPr="00BA09E5">
        <w:t>effects of reagents on the element of interest</w:t>
      </w:r>
    </w:p>
    <w:p w:rsidR="00000000" w:rsidRPr="00BA09E5" w:rsidP="00BA09E5">
      <w:pPr>
        <w:pStyle w:val="ListBullet"/>
      </w:pPr>
      <w:r w:rsidRPr="00BA09E5">
        <w:t>reaction and recovery rates, solubility and equilibria</w:t>
      </w:r>
    </w:p>
    <w:p w:rsidR="00000000" w:rsidRPr="00BA09E5" w:rsidP="00BA09E5">
      <w:pPr>
        <w:pStyle w:val="ListBullet"/>
      </w:pPr>
      <w:r w:rsidRPr="00BA09E5">
        <w:t>tracking analytes of interest during changes of state</w:t>
      </w:r>
    </w:p>
    <w:p w:rsidR="00000000" w:rsidRPr="00BA09E5" w:rsidP="00BA09E5">
      <w:pPr>
        <w:pStyle w:val="ListBullet"/>
      </w:pPr>
      <w:r w:rsidRPr="00BA09E5">
        <w:t>function of key componen</w:t>
      </w:r>
      <w:r w:rsidRPr="00BA09E5">
        <w:t>ts and operating procedures for sample preparation equipment</w:t>
      </w:r>
    </w:p>
    <w:p w:rsidR="00000000" w:rsidRPr="00BA09E5" w:rsidP="00BA09E5">
      <w:pPr>
        <w:pStyle w:val="ListBullet"/>
      </w:pPr>
      <w:r w:rsidRPr="00BA09E5">
        <w:t xml:space="preserve">calculation steps in preparation methods (e.g. serial dilution) </w:t>
      </w:r>
    </w:p>
    <w:p w:rsidR="00000000" w:rsidRPr="00BA09E5" w:rsidP="00BA09E5">
      <w:pPr>
        <w:pStyle w:val="ListBullet"/>
      </w:pPr>
      <w:r w:rsidRPr="00BA09E5">
        <w:t>use of non-international system of units (SI) units (ppm, ppb) and SI units, and conversions</w:t>
      </w:r>
    </w:p>
    <w:p w:rsidR="00000000" w:rsidRPr="00BA09E5" w:rsidP="00BA09E5">
      <w:pPr>
        <w:pStyle w:val="ListBullet"/>
      </w:pPr>
      <w:r w:rsidRPr="00BA09E5">
        <w:t>relevant hazards, work health and saf</w:t>
      </w:r>
      <w:r w:rsidRPr="00BA09E5">
        <w:t>ety (WHS) and environmental requirements, including use of safety data sheets (SDS) and antidotes for specific hazards, including hydrofluoric acid and cyanide</w:t>
      </w:r>
    </w:p>
    <w:p w:rsidR="00000000" w:rsidRPr="00BA09E5" w:rsidP="00BA09E5">
      <w:pPr>
        <w:pStyle w:val="ListBullet"/>
      </w:pPr>
      <w:r w:rsidRPr="00BA09E5">
        <w:t>workplace and/or legal traceability requirements</w:t>
      </w:r>
    </w:p>
    <w:p w:rsidR="00000000" w:rsidRPr="00BA09E5" w:rsidP="00BA09E5">
      <w:pPr>
        <w:pStyle w:val="ListBullet"/>
      </w:pPr>
      <w:r w:rsidRPr="00BA09E5">
        <w:t>awareness of environmental sustainability issue</w:t>
      </w:r>
      <w:r w:rsidRPr="00BA09E5">
        <w:t>s as they relate to the work task</w:t>
      </w:r>
    </w:p>
    <w:p w:rsidR="00000000" w:rsidRPr="00BA09E5" w:rsidP="00BA09E5">
      <w:pPr>
        <w:pStyle w:val="ListBullet"/>
      </w:pPr>
      <w:r w:rsidRPr="00BA09E5">
        <w:t xml:space="preserve">legal and ethical requirements specific to the work task. </w:t>
      </w:r>
    </w:p>
    <w:p w:rsidR="00000000" w:rsidRPr="00BA09E5" w:rsidP="00BA09E5">
      <w:pPr>
        <w:pStyle w:val="AllowPageBreak"/>
      </w:pPr>
    </w:p>
    <w:p w:rsidR="00000000" w:rsidRPr="00BA09E5" w:rsidP="00BA09E5">
      <w:pPr>
        <w:pStyle w:val="Heading1"/>
      </w:pPr>
      <w:bookmarkStart w:id="4" w:name="O_986226"/>
      <w:bookmarkEnd w:id="4"/>
      <w:r w:rsidRPr="00BA09E5">
        <w:t>Assessment Conditions</w:t>
      </w:r>
    </w:p>
    <w:p w:rsidR="00000000" w:rsidRPr="00BA09E5" w:rsidP="00186B10">
      <w:pPr>
        <w:pStyle w:val="BodyText"/>
      </w:pPr>
      <w:r w:rsidRPr="00BA09E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A09E5" w:rsidP="00BA09E5">
      <w:pPr>
        <w:pStyle w:val="ListBullet"/>
      </w:pPr>
      <w:r w:rsidRPr="00BA09E5">
        <w:t xml:space="preserve">use of suitable facilities, equipment and resources, including: </w:t>
      </w:r>
    </w:p>
    <w:p w:rsidR="00000000" w:rsidRPr="00BA09E5" w:rsidP="00BA09E5">
      <w:pPr>
        <w:pStyle w:val="ListBullet2"/>
      </w:pPr>
      <w:r w:rsidRPr="00BA09E5">
        <w:t>a variety of mineral samples, sample preparation methods, reagents, sample containers and labels</w:t>
      </w:r>
    </w:p>
    <w:p w:rsidR="00000000" w:rsidRPr="00BA09E5" w:rsidP="00BA09E5">
      <w:pPr>
        <w:pStyle w:val="ListBullet2"/>
      </w:pPr>
      <w:r w:rsidRPr="00BA09E5">
        <w:t>client requests/documentation</w:t>
      </w:r>
    </w:p>
    <w:p w:rsidR="00000000" w:rsidRPr="00BA09E5" w:rsidP="00BA09E5">
      <w:pPr>
        <w:pStyle w:val="ListBullet2"/>
      </w:pPr>
      <w:r w:rsidRPr="00BA09E5">
        <w:t>sample preparation equipment including splitters, mills, bowls and tumblers, crushers,  grinders and disc pulverisers, sieves, ov</w:t>
      </w:r>
      <w:r w:rsidRPr="00BA09E5">
        <w:t>ens and muffle furnaces</w:t>
      </w:r>
    </w:p>
    <w:p w:rsidR="00000000" w:rsidRPr="00BA09E5" w:rsidP="00BA09E5">
      <w:pPr>
        <w:pStyle w:val="ListBullet2"/>
      </w:pPr>
      <w:r w:rsidRPr="00BA09E5">
        <w:t>laboratory equipment: ultrasonic baths, centrifuges and vacuum and pressure filtration, volumetric glassware/plastic ware and dispensers, analytical balances and auto-samplers</w:t>
      </w:r>
    </w:p>
    <w:p w:rsidR="00000000" w:rsidRPr="00BA09E5" w:rsidP="00BA09E5">
      <w:pPr>
        <w:pStyle w:val="ListBullet2"/>
      </w:pPr>
      <w:r w:rsidRPr="00BA09E5">
        <w:t>safety equipment and safe work procedures.</w:t>
      </w:r>
    </w:p>
    <w:p w:rsidR="00000000" w:rsidRPr="00BA09E5" w:rsidP="00186B10">
      <w:pPr>
        <w:pStyle w:val="BodyText"/>
      </w:pPr>
      <w:r w:rsidRPr="00BA09E5">
        <w:br/>
        <w:t>Assessors mu</w:t>
      </w:r>
      <w:r w:rsidRPr="00BA09E5">
        <w:t>st satisfy the NVR/AQTF mandatory competency requirements for assessors.</w:t>
      </w:r>
    </w:p>
    <w:p w:rsidR="00000000" w:rsidRPr="00BA09E5" w:rsidP="00BA09E5">
      <w:pPr>
        <w:pStyle w:val="AllowPageBreak"/>
      </w:pPr>
    </w:p>
    <w:p w:rsidR="00000000" w:rsidRPr="00BA09E5" w:rsidP="00BA09E5">
      <w:pPr>
        <w:pStyle w:val="Heading1"/>
      </w:pPr>
      <w:bookmarkStart w:id="5" w:name="O_986224"/>
      <w:bookmarkEnd w:id="5"/>
      <w:r w:rsidRPr="00BA09E5">
        <w:t>Links</w:t>
      </w:r>
    </w:p>
    <w:p w:rsidR="00000000" w:rsidRPr="00BA09E5" w:rsidP="00186B10">
      <w:pPr>
        <w:pStyle w:val="BodyText"/>
      </w:pPr>
      <w:r w:rsidRPr="00BA09E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44B3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A09E5" w:rsidP="00BA09E5"/>
    <w:sectPr w:rsidSect="00BA09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E5" w:rsidRPr="00186B10" w:rsidP="00186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10" w:rsidP="00BA0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B10" w:rsidP="00BA0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6B10" w:rsidP="00BA0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9E5" w:rsidRPr="00186B10" w:rsidP="00186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10" w:rsidRPr="002D2AF8" w:rsidP="00BA0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MSL954005 Prepare mineral samples for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86B10" w:rsidP="00BA0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247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AA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69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9E5"/>
  </w:style>
  <w:style w:type="character" w:customStyle="1" w:styleId="Heading1Char">
    <w:name w:val="Heading 1 Char"/>
    <w:basedOn w:val="DefaultParagraphFont"/>
    <w:link w:val="Heading1"/>
    <w:rsid w:val="00BA0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9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9E5"/>
    <w:rPr>
      <w:b/>
      <w:spacing w:val="0"/>
    </w:rPr>
  </w:style>
  <w:style w:type="paragraph" w:styleId="ListBullet2">
    <w:name w:val="List Bullet 2"/>
    <w:basedOn w:val="List2"/>
    <w:rsid w:val="00BA09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9E5"/>
    <w:rPr>
      <w:i/>
    </w:rPr>
  </w:style>
  <w:style w:type="paragraph" w:customStyle="1" w:styleId="SuperHeading">
    <w:name w:val="SuperHeading"/>
    <w:basedOn w:val="Normal"/>
    <w:rsid w:val="00BA0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9E5"/>
  </w:style>
  <w:style w:type="paragraph" w:styleId="TableofFigures">
    <w:name w:val="table of figures"/>
    <w:basedOn w:val="Normal"/>
    <w:next w:val="Normal"/>
    <w:semiHidden/>
    <w:rsid w:val="00BA0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9E5"/>
    <w:rPr>
      <w:rFonts w:ascii="Wingdings" w:hAnsi="Wingdings"/>
    </w:rPr>
  </w:style>
  <w:style w:type="paragraph" w:customStyle="1" w:styleId="TableHeading">
    <w:name w:val="Table Heading"/>
    <w:basedOn w:val="HeadingBase"/>
    <w:rsid w:val="00BA0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9E5"/>
    <w:rPr>
      <w:color w:val="0033CC"/>
      <w:u w:val="none"/>
    </w:rPr>
  </w:style>
  <w:style w:type="paragraph" w:customStyle="1" w:styleId="BodyTextRight">
    <w:name w:val="Body Text Right"/>
    <w:basedOn w:val="BodyText"/>
    <w:rsid w:val="00BA0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9E5"/>
    <w:rPr>
      <w:sz w:val="32"/>
    </w:rPr>
  </w:style>
  <w:style w:type="paragraph" w:customStyle="1" w:styleId="HeadingProcedure">
    <w:name w:val="Heading Procedure"/>
    <w:basedOn w:val="HeadingBase"/>
    <w:next w:val="Normal"/>
    <w:rsid w:val="00BA0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9E5"/>
    <w:pPr>
      <w:spacing w:before="60" w:after="60"/>
    </w:pPr>
  </w:style>
  <w:style w:type="paragraph" w:styleId="ListContinue">
    <w:name w:val="List Continue"/>
    <w:basedOn w:val="List"/>
    <w:rsid w:val="00BA09E5"/>
    <w:pPr>
      <w:ind w:firstLine="0"/>
    </w:pPr>
  </w:style>
  <w:style w:type="paragraph" w:customStyle="1" w:styleId="ListNote">
    <w:name w:val="List Note"/>
    <w:basedOn w:val="List"/>
    <w:rsid w:val="00BA0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9E5"/>
    <w:rPr>
      <w:rFonts w:ascii="Courier New" w:hAnsi="Courier New"/>
    </w:rPr>
  </w:style>
  <w:style w:type="paragraph" w:customStyle="1" w:styleId="NoteBullet">
    <w:name w:val="Note Bullet"/>
    <w:basedOn w:val="Note"/>
    <w:rsid w:val="00BA0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9E5"/>
    <w:rPr>
      <w:b/>
      <w:smallCaps/>
    </w:rPr>
  </w:style>
  <w:style w:type="paragraph" w:customStyle="1" w:styleId="TableListNumber">
    <w:name w:val="Table List Number"/>
    <w:basedOn w:val="ListNumber"/>
    <w:rsid w:val="00BA0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9E5"/>
    <w:pPr>
      <w:numPr>
        <w:numId w:val="9"/>
      </w:numPr>
    </w:pPr>
  </w:style>
  <w:style w:type="paragraph" w:customStyle="1" w:styleId="ListAlpha2">
    <w:name w:val="List Alpha 2"/>
    <w:basedOn w:val="List2"/>
    <w:rsid w:val="00BA09E5"/>
    <w:pPr>
      <w:numPr>
        <w:numId w:val="8"/>
      </w:numPr>
    </w:pPr>
  </w:style>
  <w:style w:type="paragraph" w:styleId="List2">
    <w:name w:val="List 2"/>
    <w:basedOn w:val="BodyText"/>
    <w:rsid w:val="00BA0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9E5"/>
    <w:pPr>
      <w:numPr>
        <w:numId w:val="4"/>
      </w:numPr>
    </w:pPr>
  </w:style>
  <w:style w:type="paragraph" w:styleId="ListContinue2">
    <w:name w:val="List Continue 2"/>
    <w:basedOn w:val="List2"/>
    <w:rsid w:val="00BA09E5"/>
    <w:pPr>
      <w:ind w:firstLine="0"/>
    </w:pPr>
  </w:style>
  <w:style w:type="paragraph" w:styleId="ListContinue3">
    <w:name w:val="List Continue 3"/>
    <w:basedOn w:val="List3"/>
    <w:rsid w:val="00BA09E5"/>
    <w:pPr>
      <w:ind w:left="1021" w:firstLine="0"/>
    </w:pPr>
  </w:style>
  <w:style w:type="paragraph" w:styleId="ListContinue4">
    <w:name w:val="List Continue 4"/>
    <w:basedOn w:val="List4"/>
    <w:rsid w:val="00BA09E5"/>
    <w:pPr>
      <w:ind w:firstLine="0"/>
    </w:pPr>
  </w:style>
  <w:style w:type="paragraph" w:styleId="ListContinue5">
    <w:name w:val="List Continue 5"/>
    <w:basedOn w:val="List5"/>
    <w:rsid w:val="00BA09E5"/>
    <w:pPr>
      <w:ind w:firstLine="0"/>
    </w:pPr>
  </w:style>
  <w:style w:type="paragraph" w:styleId="ListNumber3">
    <w:name w:val="List Number 3"/>
    <w:basedOn w:val="List3"/>
    <w:rsid w:val="00BA09E5"/>
    <w:pPr>
      <w:numPr>
        <w:numId w:val="5"/>
      </w:numPr>
    </w:pPr>
  </w:style>
  <w:style w:type="paragraph" w:styleId="ListNumber4">
    <w:name w:val="List Number 4"/>
    <w:basedOn w:val="List4"/>
    <w:rsid w:val="00BA09E5"/>
    <w:pPr>
      <w:numPr>
        <w:numId w:val="6"/>
      </w:numPr>
    </w:pPr>
  </w:style>
  <w:style w:type="paragraph" w:styleId="ListNumber5">
    <w:name w:val="List Number 5"/>
    <w:basedOn w:val="List5"/>
    <w:rsid w:val="00BA09E5"/>
    <w:pPr>
      <w:numPr>
        <w:numId w:val="7"/>
      </w:numPr>
    </w:pPr>
  </w:style>
  <w:style w:type="paragraph" w:styleId="BlockText">
    <w:name w:val="Block Text"/>
    <w:basedOn w:val="Normal"/>
    <w:rsid w:val="00BA0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9E5"/>
    <w:rPr>
      <w:sz w:val="16"/>
      <w:vertAlign w:val="superscript"/>
    </w:rPr>
  </w:style>
  <w:style w:type="character" w:customStyle="1" w:styleId="Symbols">
    <w:name w:val="Symbols"/>
    <w:basedOn w:val="DefaultParagraphFont"/>
    <w:rsid w:val="00BA09E5"/>
    <w:rPr>
      <w:rFonts w:ascii="Symbol" w:hAnsi="Symbol"/>
    </w:rPr>
  </w:style>
  <w:style w:type="character" w:customStyle="1" w:styleId="MenuOptions">
    <w:name w:val="Menu Options"/>
    <w:basedOn w:val="DefaultParagraphFont"/>
    <w:rsid w:val="00BA0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9E5"/>
    <w:rPr>
      <w:b/>
    </w:rPr>
  </w:style>
  <w:style w:type="character" w:customStyle="1" w:styleId="Underlined">
    <w:name w:val="Underlined"/>
    <w:basedOn w:val="DefaultParagraphFont"/>
    <w:rsid w:val="00BA09E5"/>
    <w:rPr>
      <w:u w:val="single"/>
    </w:rPr>
  </w:style>
  <w:style w:type="paragraph" w:customStyle="1" w:styleId="TableBodyTextRight">
    <w:name w:val="Table Body Text Right"/>
    <w:basedOn w:val="TableBodyText"/>
    <w:rsid w:val="00BA0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9E5"/>
    <w:rPr>
      <w:sz w:val="18"/>
    </w:rPr>
  </w:style>
  <w:style w:type="paragraph" w:customStyle="1" w:styleId="BodySmallRight">
    <w:name w:val="Body Small Right"/>
    <w:basedOn w:val="BodyTextRight"/>
    <w:rsid w:val="00BA09E5"/>
    <w:rPr>
      <w:sz w:val="18"/>
      <w:szCs w:val="18"/>
    </w:rPr>
  </w:style>
  <w:style w:type="paragraph" w:customStyle="1" w:styleId="MarginEdition">
    <w:name w:val="Margin Edition"/>
    <w:basedOn w:val="MarginNote"/>
    <w:rsid w:val="00BA0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9E5"/>
    <w:rPr>
      <w:sz w:val="2"/>
      <w:szCs w:val="2"/>
    </w:rPr>
  </w:style>
  <w:style w:type="character" w:customStyle="1" w:styleId="Small">
    <w:name w:val="Small"/>
    <w:basedOn w:val="DefaultParagraphFont"/>
    <w:rsid w:val="00BA09E5"/>
    <w:rPr>
      <w:sz w:val="16"/>
    </w:rPr>
  </w:style>
  <w:style w:type="paragraph" w:customStyle="1" w:styleId="WideTable">
    <w:name w:val="Wide Table"/>
    <w:basedOn w:val="Normal"/>
    <w:rsid w:val="00BA0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9E5"/>
  </w:style>
  <w:style w:type="paragraph" w:styleId="Quote">
    <w:name w:val="Quote"/>
    <w:basedOn w:val="Heading1"/>
    <w:link w:val="QuoteChar"/>
    <w:qFormat/>
    <w:rsid w:val="00BA0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9E5"/>
    <w:pPr>
      <w:pageBreakBefore/>
    </w:pPr>
  </w:style>
  <w:style w:type="paragraph" w:customStyle="1" w:styleId="Border">
    <w:name w:val="Border"/>
    <w:basedOn w:val="Normal"/>
    <w:qFormat/>
    <w:rsid w:val="00BA0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9E5"/>
    <w:rPr>
      <w:u w:val="single"/>
    </w:rPr>
  </w:style>
  <w:style w:type="character" w:customStyle="1" w:styleId="BoldandItalics">
    <w:name w:val="Bold and Italics"/>
    <w:qFormat/>
    <w:rsid w:val="00BA09E5"/>
    <w:rPr>
      <w:b/>
      <w:i/>
      <w:u w:val="none"/>
    </w:rPr>
  </w:style>
  <w:style w:type="paragraph" w:styleId="BalloonText">
    <w:name w:val="Balloon Text"/>
    <w:basedOn w:val="Normal"/>
    <w:link w:val="BalloonTextChar"/>
    <w:rsid w:val="00BA0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9E5"/>
    <w:pPr>
      <w:spacing w:before="0" w:after="0"/>
    </w:pPr>
  </w:style>
  <w:style w:type="paragraph" w:customStyle="1" w:styleId="BodyTextBold">
    <w:name w:val="Body Text Bold"/>
    <w:basedOn w:val="BodyText"/>
    <w:qFormat/>
    <w:rsid w:val="00BA09E5"/>
    <w:rPr>
      <w:b/>
    </w:rPr>
  </w:style>
  <w:style w:type="character" w:styleId="Hyperlink">
    <w:name w:val="Hyperlink"/>
    <w:basedOn w:val="DefaultParagraphFont"/>
    <w:uiPriority w:val="99"/>
    <w:unhideWhenUsed/>
    <w:rsid w:val="00186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3761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MSL954005 Prepare mineral samples for analysis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