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604" w:rsidP="00C42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MSL954004 Obtain representative samples in accordance with sampling plan</w:t>
      </w:r>
      <w:r>
        <w:fldChar w:fldCharType="end"/>
      </w:r>
    </w:p>
    <w:p w:rsidR="00C42604" w:rsidP="00C42604">
      <w:pPr>
        <w:pStyle w:val="Version"/>
        <w:sectPr w:rsidSect="00DC7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BCE" w:rsidP="00DC7BCE">
      <w:pPr>
        <w:pStyle w:val="SuperHeading"/>
      </w:pPr>
      <w:r w:rsidRPr="00DC7BCE">
        <w:t>MSL954004 Obtain representative samples in accordance with sampling plan</w:t>
      </w:r>
    </w:p>
    <w:p w:rsidR="00000000" w:rsidRPr="00DC7BCE" w:rsidP="00DC7BCE">
      <w:pPr>
        <w:pStyle w:val="Heading1"/>
      </w:pPr>
      <w:bookmarkStart w:id="1" w:name="O_986212"/>
      <w:bookmarkEnd w:id="1"/>
      <w:r w:rsidRPr="00DC7B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BCE" w:rsidP="00DC7BCE">
            <w:pPr>
              <w:pStyle w:val="BodyText"/>
            </w:pPr>
            <w:r w:rsidRPr="00DC7BC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rPr>
                <w:rStyle w:val="SpecialBold"/>
              </w:rPr>
              <w:t>Comments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 xml:space="preserve">This version was released in </w:t>
            </w:r>
            <w:r w:rsidRPr="00DC7BCE">
              <w:rPr>
                <w:rStyle w:val="Emphasis"/>
              </w:rPr>
              <w:t>MSL Laboratory Operations Training Package Release 2.0.</w:t>
            </w:r>
          </w:p>
          <w:p w:rsidR="00000000" w:rsidRPr="00DC7BCE" w:rsidP="00DC7BCE">
            <w:pPr>
              <w:pStyle w:val="BodyText"/>
            </w:pPr>
            <w:r w:rsidRPr="00DC7BCE">
              <w:t>Supersedes and equivalent to MSL954001 Obtain representative samples in accordance with sampling plan. Range of conditions removed. Assessment requirements amended.</w:t>
            </w:r>
          </w:p>
        </w:tc>
      </w:tr>
    </w:tbl>
    <w:p w:rsidR="00000000" w:rsidRPr="00DC7BCE" w:rsidP="00DC7BCE">
      <w:pPr>
        <w:pStyle w:val="BodyText"/>
      </w:pPr>
    </w:p>
    <w:p w:rsidR="00000000" w:rsidRPr="00DC7BCE" w:rsidP="00DC7BCE">
      <w:pPr>
        <w:pStyle w:val="AllowPageBreak"/>
      </w:pPr>
    </w:p>
    <w:p w:rsidR="00000000" w:rsidRPr="00DC7BCE" w:rsidP="00DC7BCE">
      <w:pPr>
        <w:pStyle w:val="Heading1"/>
      </w:pPr>
      <w:bookmarkStart w:id="2" w:name="O_986218"/>
      <w:bookmarkEnd w:id="2"/>
      <w:r w:rsidRPr="00DC7BCE">
        <w:t>Application</w:t>
      </w:r>
    </w:p>
    <w:p w:rsidR="00000000" w:rsidRPr="00DC7BCE" w:rsidP="00C42604">
      <w:pPr>
        <w:pStyle w:val="BodyText"/>
      </w:pPr>
      <w:r w:rsidRPr="00DC7BCE">
        <w:t>This unit of competency describes the skills and knowledge t</w:t>
      </w:r>
      <w:r w:rsidRPr="00DC7BCE">
        <w:t>o obtain a range of samples that are representative of the source material and to prepare the samples for testing. All sampling activities are conducted in accordance with a defined sampling plan. This unit does not cover the subsequent testing of the samp</w:t>
      </w:r>
      <w:r w:rsidRPr="00DC7BCE">
        <w:t>les.</w:t>
      </w:r>
    </w:p>
    <w:p w:rsidR="00000000" w:rsidRPr="00DC7BCE" w:rsidP="00C42604">
      <w:pPr>
        <w:pStyle w:val="BodyText"/>
      </w:pPr>
      <w:r w:rsidRPr="00DC7BCE">
        <w:t xml:space="preserve">This unit of competency applies to laboratory technicians in all industry sectors. </w:t>
      </w:r>
    </w:p>
    <w:p w:rsidR="00000000" w:rsidRPr="00DC7BCE" w:rsidP="00C42604">
      <w:pPr>
        <w:pStyle w:val="BodyText"/>
      </w:pPr>
      <w:r w:rsidRPr="00DC7BCE">
        <w:t>No licensing or certification requirements exist at the time of publication. However, regulations and/or external accreditation requirements for laboratory operation</w:t>
      </w:r>
      <w:r w:rsidRPr="00DC7BCE">
        <w:t>s exist, so local requirements should be checked. Relevant legislation, industry standards and codes of practice within Australia must also be applied.</w:t>
      </w:r>
    </w:p>
    <w:p w:rsidR="00000000" w:rsidRPr="00DC7BCE" w:rsidP="00DC7BCE">
      <w:pPr>
        <w:pStyle w:val="Heading1"/>
      </w:pPr>
      <w:bookmarkStart w:id="3" w:name="O_986217"/>
      <w:bookmarkEnd w:id="3"/>
      <w:r w:rsidRPr="00DC7BCE">
        <w:t>Pre-requisite Unit</w:t>
      </w:r>
    </w:p>
    <w:p w:rsidR="00000000" w:rsidRPr="00DC7BCE" w:rsidP="00C42604">
      <w:pPr>
        <w:pStyle w:val="BodyText"/>
      </w:pPr>
      <w:r w:rsidRPr="00DC7BCE">
        <w:t>Nil</w:t>
      </w:r>
    </w:p>
    <w:p w:rsidR="00000000" w:rsidRPr="00DC7BCE" w:rsidP="00DC7BCE">
      <w:pPr>
        <w:pStyle w:val="Heading1"/>
      </w:pPr>
      <w:bookmarkStart w:id="4" w:name="O_986216"/>
      <w:bookmarkEnd w:id="4"/>
      <w:r w:rsidRPr="00DC7BCE">
        <w:t>Competency Field</w:t>
      </w:r>
    </w:p>
    <w:p w:rsidR="00000000" w:rsidRPr="00DC7BCE" w:rsidP="00C42604">
      <w:pPr>
        <w:pStyle w:val="BodyText"/>
      </w:pPr>
      <w:r w:rsidRPr="00DC7BCE">
        <w:t>Sampling</w:t>
      </w:r>
    </w:p>
    <w:p w:rsidR="00000000" w:rsidRPr="00DC7BCE" w:rsidP="00DC7BCE">
      <w:pPr>
        <w:pStyle w:val="Heading1"/>
      </w:pPr>
      <w:bookmarkStart w:id="5" w:name="O_986215"/>
      <w:bookmarkEnd w:id="5"/>
      <w:r w:rsidRPr="00DC7B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Performance criteria describe the performance needed to demonstrate achievement of the element.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rPr>
                <w:rStyle w:val="SpecialBold"/>
              </w:rPr>
              <w:t>Prepare for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Confirm the sampling location, number and type of samp</w:t>
            </w:r>
            <w:r w:rsidRPr="00DC7BCE">
              <w:t>les, and timing and frequency of sampling from workplace or client</w:t>
            </w:r>
            <w:r>
              <w:t>’</w:t>
            </w:r>
            <w:r w:rsidRPr="00DC7BCE">
              <w:t xml:space="preserve">s sampling plan 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Liaise with relevant personnel to arrange site access and all necessary clearances and/or permits as required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Select sampling equipment and conditions to achieve representative samples and preserve sample integrity during collection, storage and transit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Check that all procedures are in accordance with client or workplace requirements, relevant standards and</w:t>
            </w:r>
            <w:r w:rsidRPr="00DC7BCE">
              <w:t xml:space="preserve"> codes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Identify site and sampling hazards and review workplace safety procedures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Assemble and check all sampling equipment, materials, containers and safety equipment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Arrange suitable transport to, from and around site as required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rPr>
                <w:rStyle w:val="SpecialBold"/>
              </w:rPr>
              <w:t>Conduct sampling and log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Locate sampling sites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Conduct representative sampling in accordance with sampling plan and defined procedures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Record all information and label samples in accordance with traceability requirements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Record environment or production conditions and any atypical observations made during sampling that may impact on sample representativeness or integrity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Transport all samples back to base according to standard operating procedures (SOPs) and rel</w:t>
            </w:r>
            <w:r w:rsidRPr="00DC7BCE">
              <w:t>evant codes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rPr>
                <w:rStyle w:val="SpecialBold"/>
              </w:rPr>
              <w:t>Prepare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Prepare sub-samples and back-up sub-samples that are representative of the source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 xml:space="preserve">Label all sub-samples to ensure traceability and store in </w:t>
            </w:r>
            <w:r w:rsidRPr="00DC7BCE">
              <w:t>accordance with SOPs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Follow defined p</w:t>
            </w:r>
            <w:r w:rsidRPr="00DC7BCE">
              <w:t>reparation and safety procedures to limit hazard or contamination to samples, self, work area and environment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Distribute sub-samples to defined workstations maintaining sample integrity and traceability requirements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rPr>
                <w:rStyle w:val="SpecialBold"/>
              </w:rPr>
              <w:t>Address client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Enter approved information into laboratory information management system (LIMS), as required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Report all relevant aspects of the sampling and preparation phases in accordance with workplace procedures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Ensure that information provided to clien</w:t>
            </w:r>
            <w:r w:rsidRPr="00DC7BCE">
              <w:t>t is accurate, relevant and authorised for release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Maintain security and confidentiality of all client/workplace data and information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Clean all equipment, containers, work area and vehicles according to workplace procedures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Check serviceability of all equipment before storage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Use defined safe work practices and personal protective equipment (PPE) to ensure personal safety and that of other personnel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 xml:space="preserve">Minimise the generation of wastes and environment impacts </w:t>
            </w:r>
          </w:p>
        </w:tc>
      </w:tr>
      <w:tr w:rsidTr="00DC7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BCE">
            <w:pPr>
              <w:pStyle w:val="BodyText"/>
              <w:rPr>
                <w:lang w:val="en-NZ"/>
              </w:rPr>
            </w:pPr>
            <w:r w:rsidRPr="00DC7BC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BCE" w:rsidP="00DC7BCE">
            <w:pPr>
              <w:pStyle w:val="BodyText"/>
            </w:pPr>
            <w:r w:rsidRPr="00DC7BCE">
              <w:t>Ensure the safe collection of all hazardous wastes for appropriate disposal</w:t>
            </w:r>
          </w:p>
        </w:tc>
      </w:tr>
    </w:tbl>
    <w:p w:rsidR="00000000" w:rsidRPr="00DC7BCE" w:rsidP="00DC7BCE">
      <w:pPr>
        <w:pStyle w:val="BodyText"/>
      </w:pPr>
    </w:p>
    <w:p w:rsidR="00000000" w:rsidRPr="00DC7BCE" w:rsidP="00DC7BCE">
      <w:pPr>
        <w:pStyle w:val="AllowPageBreak"/>
      </w:pPr>
    </w:p>
    <w:p w:rsidR="00000000" w:rsidRPr="00DC7BCE" w:rsidP="00DC7BCE">
      <w:pPr>
        <w:pStyle w:val="Heading1"/>
      </w:pPr>
      <w:bookmarkStart w:id="6" w:name="O_986214"/>
      <w:bookmarkEnd w:id="6"/>
      <w:r w:rsidRPr="00DC7BCE">
        <w:t>Foundation Skills</w:t>
      </w:r>
    </w:p>
    <w:p w:rsidR="00000000" w:rsidRPr="00DC7BCE" w:rsidP="00C42604">
      <w:pPr>
        <w:pStyle w:val="BodyText"/>
      </w:pPr>
      <w:r w:rsidRPr="00DC7BCE">
        <w:t>This section describes those language, literacy, numeracy and employment skills that are essential to performance.</w:t>
      </w:r>
    </w:p>
    <w:p w:rsidR="00000000" w:rsidRPr="00DC7BCE" w:rsidP="00C42604">
      <w:pPr>
        <w:pStyle w:val="BodyText"/>
      </w:pPr>
      <w:r w:rsidRPr="00DC7BCE">
        <w:t>Foundation skills essential</w:t>
      </w:r>
      <w:r w:rsidRPr="00DC7BCE">
        <w:t xml:space="preserve"> to performance are explicit in the performance criteria of this unit of competency.</w:t>
      </w:r>
    </w:p>
    <w:p w:rsidR="00000000" w:rsidRPr="00DC7BCE" w:rsidP="00DC7BCE">
      <w:pPr>
        <w:pStyle w:val="Heading1"/>
      </w:pPr>
      <w:bookmarkStart w:id="7" w:name="O_986213"/>
      <w:bookmarkEnd w:id="7"/>
      <w:r w:rsidRPr="00DC7BCE">
        <w:t>Unit Mapping Information</w:t>
      </w:r>
    </w:p>
    <w:p w:rsidR="00000000" w:rsidRPr="00DC7BCE" w:rsidP="00C42604">
      <w:pPr>
        <w:pStyle w:val="BodyText"/>
      </w:pPr>
      <w:r w:rsidRPr="00DC7BCE">
        <w:t xml:space="preserve">Equivalent to MSL954001 Obtain representative samples in accordance with sampling plan, Release 1.  </w:t>
      </w:r>
    </w:p>
    <w:p w:rsidR="00000000" w:rsidRPr="00DC7BCE" w:rsidP="00DC7BCE">
      <w:pPr>
        <w:pStyle w:val="Heading1"/>
      </w:pPr>
      <w:bookmarkStart w:id="8" w:name="O_986206"/>
      <w:bookmarkEnd w:id="8"/>
      <w:r w:rsidRPr="00DC7BCE">
        <w:t>Links</w:t>
      </w:r>
    </w:p>
    <w:p w:rsidR="00000000" w:rsidRPr="00DC7BCE" w:rsidP="00C42604">
      <w:pPr>
        <w:pStyle w:val="BodyText"/>
      </w:pPr>
      <w:r w:rsidRPr="00DC7BCE">
        <w:t>MSL L</w:t>
      </w:r>
      <w:r w:rsidRPr="00DC7BCE">
        <w:t xml:space="preserve">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359F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C7BCE" w:rsidP="00DC7BCE"/>
    <w:sectPr w:rsidSect="00DC7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CE" w:rsidRPr="00C42604" w:rsidP="00C42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04" w:rsidP="00DC7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604" w:rsidP="00DC7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2604" w:rsidP="00DC7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BCE" w:rsidRPr="00C42604" w:rsidP="00C42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04" w:rsidRPr="002D2AF8" w:rsidP="00DC7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MSL954004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2604" w:rsidP="00DC7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BCE"/>
  </w:style>
  <w:style w:type="character" w:customStyle="1" w:styleId="Heading1Char">
    <w:name w:val="Heading 1 Char"/>
    <w:basedOn w:val="DefaultParagraphFont"/>
    <w:link w:val="Heading1"/>
    <w:rsid w:val="00DC7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B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7BCE"/>
    <w:rPr>
      <w:b/>
      <w:spacing w:val="0"/>
    </w:rPr>
  </w:style>
  <w:style w:type="character" w:styleId="Emphasis">
    <w:name w:val="Emphasis"/>
    <w:basedOn w:val="DefaultParagraphFont"/>
    <w:qFormat/>
    <w:rsid w:val="00DC7BCE"/>
    <w:rPr>
      <w:i/>
    </w:rPr>
  </w:style>
  <w:style w:type="paragraph" w:customStyle="1" w:styleId="SuperHeading">
    <w:name w:val="SuperHeading"/>
    <w:basedOn w:val="Normal"/>
    <w:rsid w:val="00DC7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B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7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B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B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BCE"/>
  </w:style>
  <w:style w:type="paragraph" w:styleId="TableofFigures">
    <w:name w:val="table of figures"/>
    <w:basedOn w:val="Normal"/>
    <w:next w:val="Normal"/>
    <w:semiHidden/>
    <w:rsid w:val="00DC7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B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7BCE"/>
    <w:rPr>
      <w:rFonts w:ascii="Wingdings" w:hAnsi="Wingdings"/>
    </w:rPr>
  </w:style>
  <w:style w:type="paragraph" w:customStyle="1" w:styleId="TableHeading">
    <w:name w:val="Table Heading"/>
    <w:basedOn w:val="HeadingBase"/>
    <w:rsid w:val="00DC7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BCE"/>
    <w:rPr>
      <w:color w:val="0033CC"/>
      <w:u w:val="none"/>
    </w:rPr>
  </w:style>
  <w:style w:type="paragraph" w:customStyle="1" w:styleId="BodyTextRight">
    <w:name w:val="Body Text Right"/>
    <w:basedOn w:val="BodyText"/>
    <w:rsid w:val="00DC7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B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BCE"/>
    <w:rPr>
      <w:sz w:val="32"/>
    </w:rPr>
  </w:style>
  <w:style w:type="paragraph" w:customStyle="1" w:styleId="HeadingProcedure">
    <w:name w:val="Heading Procedure"/>
    <w:basedOn w:val="HeadingBase"/>
    <w:next w:val="Normal"/>
    <w:rsid w:val="00DC7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BCE"/>
    <w:pPr>
      <w:spacing w:before="60" w:after="60"/>
    </w:pPr>
  </w:style>
  <w:style w:type="paragraph" w:styleId="ListContinue">
    <w:name w:val="List Continue"/>
    <w:basedOn w:val="List"/>
    <w:rsid w:val="00DC7BCE"/>
    <w:pPr>
      <w:ind w:firstLine="0"/>
    </w:pPr>
  </w:style>
  <w:style w:type="paragraph" w:customStyle="1" w:styleId="ListNote">
    <w:name w:val="List Note"/>
    <w:basedOn w:val="List"/>
    <w:rsid w:val="00DC7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BCE"/>
    <w:rPr>
      <w:rFonts w:ascii="Courier New" w:hAnsi="Courier New"/>
    </w:rPr>
  </w:style>
  <w:style w:type="paragraph" w:customStyle="1" w:styleId="NoteBullet">
    <w:name w:val="Note Bullet"/>
    <w:basedOn w:val="Note"/>
    <w:rsid w:val="00DC7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B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7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BCE"/>
    <w:rPr>
      <w:b/>
      <w:smallCaps/>
    </w:rPr>
  </w:style>
  <w:style w:type="paragraph" w:customStyle="1" w:styleId="TableListNumber">
    <w:name w:val="Table List Number"/>
    <w:basedOn w:val="ListNumber"/>
    <w:rsid w:val="00DC7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BCE"/>
    <w:pPr>
      <w:numPr>
        <w:numId w:val="7"/>
      </w:numPr>
    </w:pPr>
  </w:style>
  <w:style w:type="paragraph" w:customStyle="1" w:styleId="ListAlpha2">
    <w:name w:val="List Alpha 2"/>
    <w:basedOn w:val="List2"/>
    <w:rsid w:val="00DC7BCE"/>
    <w:pPr>
      <w:numPr>
        <w:numId w:val="6"/>
      </w:numPr>
    </w:pPr>
  </w:style>
  <w:style w:type="paragraph" w:styleId="List2">
    <w:name w:val="List 2"/>
    <w:basedOn w:val="BodyText"/>
    <w:rsid w:val="00DC7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B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B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7BCE"/>
    <w:pPr>
      <w:numPr>
        <w:numId w:val="2"/>
      </w:numPr>
    </w:pPr>
  </w:style>
  <w:style w:type="paragraph" w:styleId="ListContinue2">
    <w:name w:val="List Continue 2"/>
    <w:basedOn w:val="List2"/>
    <w:rsid w:val="00DC7BCE"/>
    <w:pPr>
      <w:ind w:firstLine="0"/>
    </w:pPr>
  </w:style>
  <w:style w:type="paragraph" w:styleId="ListContinue3">
    <w:name w:val="List Continue 3"/>
    <w:basedOn w:val="List3"/>
    <w:rsid w:val="00DC7BCE"/>
    <w:pPr>
      <w:ind w:left="1021" w:firstLine="0"/>
    </w:pPr>
  </w:style>
  <w:style w:type="paragraph" w:styleId="ListContinue4">
    <w:name w:val="List Continue 4"/>
    <w:basedOn w:val="List4"/>
    <w:rsid w:val="00DC7BCE"/>
    <w:pPr>
      <w:ind w:firstLine="0"/>
    </w:pPr>
  </w:style>
  <w:style w:type="paragraph" w:styleId="ListContinue5">
    <w:name w:val="List Continue 5"/>
    <w:basedOn w:val="List5"/>
    <w:rsid w:val="00DC7BCE"/>
    <w:pPr>
      <w:ind w:firstLine="0"/>
    </w:pPr>
  </w:style>
  <w:style w:type="paragraph" w:styleId="ListNumber3">
    <w:name w:val="List Number 3"/>
    <w:basedOn w:val="List3"/>
    <w:rsid w:val="00DC7BCE"/>
    <w:pPr>
      <w:numPr>
        <w:numId w:val="3"/>
      </w:numPr>
    </w:pPr>
  </w:style>
  <w:style w:type="paragraph" w:styleId="ListNumber4">
    <w:name w:val="List Number 4"/>
    <w:basedOn w:val="List4"/>
    <w:rsid w:val="00DC7BCE"/>
    <w:pPr>
      <w:numPr>
        <w:numId w:val="4"/>
      </w:numPr>
    </w:pPr>
  </w:style>
  <w:style w:type="paragraph" w:styleId="ListNumber5">
    <w:name w:val="List Number 5"/>
    <w:basedOn w:val="List5"/>
    <w:rsid w:val="00DC7BCE"/>
    <w:pPr>
      <w:numPr>
        <w:numId w:val="5"/>
      </w:numPr>
    </w:pPr>
  </w:style>
  <w:style w:type="paragraph" w:styleId="BlockText">
    <w:name w:val="Block Text"/>
    <w:basedOn w:val="Normal"/>
    <w:rsid w:val="00DC7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BCE"/>
    <w:rPr>
      <w:sz w:val="16"/>
      <w:vertAlign w:val="superscript"/>
    </w:rPr>
  </w:style>
  <w:style w:type="character" w:customStyle="1" w:styleId="Symbols">
    <w:name w:val="Symbols"/>
    <w:basedOn w:val="DefaultParagraphFont"/>
    <w:rsid w:val="00DC7BCE"/>
    <w:rPr>
      <w:rFonts w:ascii="Symbol" w:hAnsi="Symbol"/>
    </w:rPr>
  </w:style>
  <w:style w:type="character" w:customStyle="1" w:styleId="MenuOptions">
    <w:name w:val="Menu Options"/>
    <w:basedOn w:val="DefaultParagraphFont"/>
    <w:rsid w:val="00DC7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BCE"/>
    <w:rPr>
      <w:b/>
    </w:rPr>
  </w:style>
  <w:style w:type="character" w:customStyle="1" w:styleId="Underlined">
    <w:name w:val="Underlined"/>
    <w:basedOn w:val="DefaultParagraphFont"/>
    <w:rsid w:val="00DC7BCE"/>
    <w:rPr>
      <w:u w:val="single"/>
    </w:rPr>
  </w:style>
  <w:style w:type="paragraph" w:customStyle="1" w:styleId="TableBodyTextRight">
    <w:name w:val="Table Body Text Right"/>
    <w:basedOn w:val="TableBodyText"/>
    <w:rsid w:val="00DC7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BCE"/>
    <w:rPr>
      <w:sz w:val="18"/>
    </w:rPr>
  </w:style>
  <w:style w:type="paragraph" w:customStyle="1" w:styleId="BodySmallRight">
    <w:name w:val="Body Small Right"/>
    <w:basedOn w:val="BodyTextRight"/>
    <w:rsid w:val="00DC7BCE"/>
    <w:rPr>
      <w:sz w:val="18"/>
      <w:szCs w:val="18"/>
    </w:rPr>
  </w:style>
  <w:style w:type="paragraph" w:customStyle="1" w:styleId="MarginEdition">
    <w:name w:val="Margin Edition"/>
    <w:basedOn w:val="MarginNote"/>
    <w:rsid w:val="00DC7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BCE"/>
    <w:rPr>
      <w:sz w:val="2"/>
      <w:szCs w:val="2"/>
    </w:rPr>
  </w:style>
  <w:style w:type="character" w:customStyle="1" w:styleId="Small">
    <w:name w:val="Small"/>
    <w:basedOn w:val="DefaultParagraphFont"/>
    <w:rsid w:val="00DC7BCE"/>
    <w:rPr>
      <w:sz w:val="16"/>
    </w:rPr>
  </w:style>
  <w:style w:type="paragraph" w:customStyle="1" w:styleId="WideTable">
    <w:name w:val="Wide Table"/>
    <w:basedOn w:val="Normal"/>
    <w:rsid w:val="00DC7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BCE"/>
  </w:style>
  <w:style w:type="paragraph" w:styleId="Quote">
    <w:name w:val="Quote"/>
    <w:basedOn w:val="Heading1"/>
    <w:link w:val="QuoteChar"/>
    <w:qFormat/>
    <w:rsid w:val="00DC7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BCE"/>
    <w:pPr>
      <w:pageBreakBefore/>
    </w:pPr>
  </w:style>
  <w:style w:type="paragraph" w:customStyle="1" w:styleId="Border">
    <w:name w:val="Border"/>
    <w:basedOn w:val="Normal"/>
    <w:qFormat/>
    <w:rsid w:val="00DC7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BCE"/>
    <w:rPr>
      <w:u w:val="single"/>
    </w:rPr>
  </w:style>
  <w:style w:type="character" w:customStyle="1" w:styleId="BoldandItalics">
    <w:name w:val="Bold and Italics"/>
    <w:qFormat/>
    <w:rsid w:val="00DC7BCE"/>
    <w:rPr>
      <w:b/>
      <w:i/>
      <w:u w:val="none"/>
    </w:rPr>
  </w:style>
  <w:style w:type="paragraph" w:styleId="BalloonText">
    <w:name w:val="Balloon Text"/>
    <w:basedOn w:val="Normal"/>
    <w:link w:val="BalloonTextChar"/>
    <w:rsid w:val="00DC7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BCE"/>
    <w:pPr>
      <w:spacing w:before="0" w:after="0"/>
    </w:pPr>
  </w:style>
  <w:style w:type="paragraph" w:customStyle="1" w:styleId="BodyTextBold">
    <w:name w:val="Body Text Bold"/>
    <w:basedOn w:val="BodyText"/>
    <w:qFormat/>
    <w:rsid w:val="00DC7BCE"/>
    <w:rPr>
      <w:b/>
    </w:rPr>
  </w:style>
  <w:style w:type="character" w:styleId="Hyperlink">
    <w:name w:val="Hyperlink"/>
    <w:basedOn w:val="DefaultParagraphFont"/>
    <w:uiPriority w:val="99"/>
    <w:unhideWhenUsed/>
    <w:rsid w:val="00C42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4155</Characters>
  <Application>Microsoft Office Word</Application>
  <DocSecurity>0</DocSecurity>
  <Lines>218</Lines>
  <Paragraphs>104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MSL954004 Obtain representative samples in accordance with sampling plan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