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2C1" w:rsidP="00CC5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MSL954004 Obtain representative samples in accordance with sampling plan</w:t>
      </w:r>
      <w:r>
        <w:fldChar w:fldCharType="end"/>
      </w:r>
    </w:p>
    <w:p w:rsidR="00CC52C1" w:rsidP="00CC52C1">
      <w:pPr>
        <w:pStyle w:val="Version"/>
        <w:sectPr w:rsidSect="009C7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1C1" w:rsidP="009C71C1">
      <w:pPr>
        <w:pStyle w:val="SuperHeading"/>
      </w:pPr>
      <w:r w:rsidRPr="009C71C1">
        <w:t>MSL954004 Obtain representative samples in accordance with sampling plan</w:t>
      </w:r>
    </w:p>
    <w:p w:rsidR="00000000" w:rsidRPr="009C71C1" w:rsidP="009C71C1">
      <w:pPr>
        <w:pStyle w:val="Heading1"/>
      </w:pPr>
      <w:bookmarkStart w:id="1" w:name="O_986212"/>
      <w:bookmarkEnd w:id="1"/>
      <w:r w:rsidRPr="009C71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71C1" w:rsidP="009C71C1">
            <w:pPr>
              <w:pStyle w:val="BodyText"/>
            </w:pPr>
            <w:r w:rsidRPr="009C71C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rPr>
                <w:rStyle w:val="SpecialBold"/>
              </w:rPr>
              <w:t>Comments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C1" w:rsidP="009C71C1">
            <w:pPr>
              <w:pStyle w:val="BodyText"/>
            </w:pPr>
            <w:r w:rsidRPr="009C71C1">
              <w:t xml:space="preserve">This version was released in </w:t>
            </w:r>
            <w:r w:rsidRPr="009C71C1">
              <w:rPr>
                <w:rStyle w:val="Emphasis"/>
              </w:rPr>
              <w:t>MSL Laboratory Operations Training Package Release 2.0.</w:t>
            </w:r>
          </w:p>
          <w:p w:rsidR="00000000" w:rsidRPr="009C71C1" w:rsidP="009C71C1">
            <w:pPr>
              <w:pStyle w:val="BodyText"/>
            </w:pPr>
            <w:r w:rsidRPr="009C71C1">
              <w:t>Supersedes and equivalent to MSL954001 Obtain representative samples in accordance with sampling plan. Range of conditions removed. Assessment requirements amended.</w:t>
            </w:r>
          </w:p>
        </w:tc>
      </w:tr>
    </w:tbl>
    <w:p w:rsidR="00000000" w:rsidRPr="009C71C1" w:rsidP="009C71C1">
      <w:pPr>
        <w:pStyle w:val="BodyText"/>
      </w:pPr>
    </w:p>
    <w:p w:rsidR="00000000" w:rsidRPr="009C71C1" w:rsidP="009C71C1">
      <w:pPr>
        <w:pStyle w:val="AllowPageBreak"/>
      </w:pPr>
    </w:p>
    <w:p w:rsidR="00000000" w:rsidRPr="009C71C1" w:rsidP="009C71C1">
      <w:pPr>
        <w:pStyle w:val="Heading1"/>
      </w:pPr>
      <w:bookmarkStart w:id="2" w:name="O_986218"/>
      <w:bookmarkEnd w:id="2"/>
      <w:r w:rsidRPr="009C71C1">
        <w:t>Application</w:t>
      </w:r>
    </w:p>
    <w:p w:rsidR="00000000" w:rsidRPr="009C71C1" w:rsidP="00CC52C1">
      <w:pPr>
        <w:pStyle w:val="BodyText"/>
      </w:pPr>
      <w:r w:rsidRPr="009C71C1">
        <w:t>This unit of competency describes the skills and knowledge t</w:t>
      </w:r>
      <w:r w:rsidRPr="009C71C1">
        <w:t>o obtain a range of samples that are representative of the source material and to prepare the samples for testing. All sampling activities are conducted in accordance with a defined sampling plan. This unit does not cover the subsequent testing of the samp</w:t>
      </w:r>
      <w:r w:rsidRPr="009C71C1">
        <w:t>les.</w:t>
      </w:r>
    </w:p>
    <w:p w:rsidR="00000000" w:rsidRPr="009C71C1" w:rsidP="00CC52C1">
      <w:pPr>
        <w:pStyle w:val="BodyText"/>
      </w:pPr>
      <w:r w:rsidRPr="009C71C1">
        <w:t xml:space="preserve">This unit of competency applies to laboratory technicians in all industry sectors. </w:t>
      </w:r>
    </w:p>
    <w:p w:rsidR="00000000" w:rsidRPr="009C71C1" w:rsidP="00CC52C1">
      <w:pPr>
        <w:pStyle w:val="BodyText"/>
      </w:pPr>
      <w:r w:rsidRPr="009C71C1">
        <w:t xml:space="preserve">No licensing or certification requirements exist </w:t>
      </w:r>
      <w:r w:rsidRPr="009C71C1">
        <w:t xml:space="preserve">at the time of publication. However, regulations and/or external accreditation requirements for laboratory operations exist, so local requirements should be checked. Relevant legislation, industry standards and codes of practice within Australia must also </w:t>
      </w:r>
      <w:r w:rsidRPr="009C71C1">
        <w:t>be applied.</w:t>
      </w:r>
    </w:p>
    <w:p w:rsidR="00000000" w:rsidRPr="009C71C1" w:rsidP="009C71C1">
      <w:pPr>
        <w:pStyle w:val="Heading1"/>
      </w:pPr>
      <w:bookmarkStart w:id="3" w:name="O_986217"/>
      <w:bookmarkEnd w:id="3"/>
      <w:r w:rsidRPr="009C71C1">
        <w:t>Pre-requisite Unit</w:t>
      </w:r>
    </w:p>
    <w:p w:rsidR="00000000" w:rsidRPr="009C71C1" w:rsidP="00CC52C1">
      <w:pPr>
        <w:pStyle w:val="BodyText"/>
      </w:pPr>
      <w:r w:rsidRPr="009C71C1">
        <w:t>Nil</w:t>
      </w:r>
    </w:p>
    <w:p w:rsidR="00000000" w:rsidRPr="009C71C1" w:rsidP="009C71C1">
      <w:pPr>
        <w:pStyle w:val="Heading1"/>
      </w:pPr>
      <w:bookmarkStart w:id="4" w:name="O_986216"/>
      <w:bookmarkEnd w:id="4"/>
      <w:r w:rsidRPr="009C71C1">
        <w:t>Competency Field</w:t>
      </w:r>
    </w:p>
    <w:p w:rsidR="00000000" w:rsidRPr="009C71C1" w:rsidP="00CC52C1">
      <w:pPr>
        <w:pStyle w:val="BodyText"/>
      </w:pPr>
      <w:r w:rsidRPr="009C71C1">
        <w:t>Sampling</w:t>
      </w:r>
    </w:p>
    <w:p w:rsidR="00000000" w:rsidRPr="009C71C1" w:rsidP="009C71C1">
      <w:pPr>
        <w:pStyle w:val="Heading1"/>
      </w:pPr>
      <w:bookmarkStart w:id="5" w:name="O_986215"/>
      <w:bookmarkEnd w:id="5"/>
      <w:r w:rsidRPr="009C71C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Performance criteria describe the performance needed to demonstrate</w:t>
            </w:r>
            <w:r w:rsidRPr="009C71C1">
              <w:t xml:space="preserve"> achievement of the element.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C1" w:rsidP="009C71C1">
            <w:pPr>
              <w:pStyle w:val="BodyText"/>
            </w:pPr>
            <w:r w:rsidRPr="009C71C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rPr>
                <w:rStyle w:val="SpecialBold"/>
              </w:rPr>
              <w:t>Prepare for sampling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Confirm the sampling location, number and type of samples, and timing and frequency of sampling from workplace or client</w:t>
            </w:r>
            <w:r>
              <w:t>’</w:t>
            </w:r>
            <w:r w:rsidRPr="009C71C1">
              <w:t xml:space="preserve">s sampling plan 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Liaise with relevant personnel to arrange site access and all necessary clearances and/or permits as required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Select sampling equipment and conditions to achieve representative samples and preserve sample integrity during collection, storage and tra</w:t>
            </w:r>
            <w:r w:rsidRPr="009C71C1">
              <w:t>nsit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Check that all procedures are in accordance with client or workplace requirements, relevant standards and codes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Identify site and sampling hazards and review workplace safety procedures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Assemble and check all sampling equipment, materials, containers and safety equipment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Arrange suitable transport to, from and around site as required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C1" w:rsidP="009C71C1">
            <w:pPr>
              <w:pStyle w:val="BodyText"/>
            </w:pPr>
            <w:r w:rsidRPr="009C71C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rPr>
                <w:rStyle w:val="SpecialBold"/>
              </w:rPr>
              <w:t>Conduct sampling and log samples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Locate sampling sites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Conduct representative sampling in accordance with sampling plan and defined procedures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Record all information and label samples in accordance with traceability requirements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Record environment or production conditions and any atypical observations made during sampling that may impact on sample representativeness or integrity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Transport all samples back to base according to standard operating procedures (SOPs) and relevan</w:t>
            </w:r>
            <w:r w:rsidRPr="009C71C1">
              <w:t>t codes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C1" w:rsidP="009C71C1">
            <w:pPr>
              <w:pStyle w:val="BodyText"/>
            </w:pPr>
            <w:r w:rsidRPr="009C71C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rPr>
                <w:rStyle w:val="SpecialBold"/>
              </w:rPr>
              <w:t>Prepare samples for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Prepare sub-samples and back-up sub-samples that are representative of the source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 xml:space="preserve">Label all sub-samples to ensure traceability and store in </w:t>
            </w:r>
            <w:r w:rsidRPr="009C71C1">
              <w:t>accordance with SOPs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Follow defined preparation and safety procedures to limit hazard or contamination to samples, self, work area and environment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Distribute sub-samples to defined workstations maintaining sample integrity and traceability requirements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C1" w:rsidP="009C71C1">
            <w:pPr>
              <w:pStyle w:val="BodyText"/>
            </w:pPr>
            <w:r w:rsidRPr="009C71C1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rPr>
                <w:rStyle w:val="SpecialBold"/>
              </w:rPr>
              <w:t>Ad</w:t>
            </w:r>
            <w:r w:rsidRPr="009C71C1">
              <w:rPr>
                <w:rStyle w:val="SpecialBold"/>
              </w:rPr>
              <w:t>dress client issues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Enter approved information into laboratory information management system (LIMS), as required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Report all relevant aspects of the sampling and preparation phases in accordance with workplace procedures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Ensure that inform</w:t>
            </w:r>
            <w:r w:rsidRPr="009C71C1">
              <w:t>ation provided to client is accurate, relevant and authorised for release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Maintain security and confidentiality of all client/workplace data and information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C1" w:rsidP="009C71C1">
            <w:pPr>
              <w:pStyle w:val="BodyText"/>
            </w:pPr>
            <w:r w:rsidRPr="009C71C1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Clean all equipment, containers, work area and vehicles according to workplace procedures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Check serviceability of all equipment before storage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Use defined safe work practices and personal protective equipment (PPE) to ensure personal safety and that of other personnel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 xml:space="preserve">Minimise the generation of wastes and environment impacts 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C1" w:rsidP="009C71C1">
            <w:pPr>
              <w:pStyle w:val="BodyText"/>
            </w:pPr>
            <w:r w:rsidRPr="009C71C1">
              <w:t>Ensure the safe collection of all hazardous wastes for appropriate disposal</w:t>
            </w:r>
          </w:p>
        </w:tc>
      </w:tr>
    </w:tbl>
    <w:p w:rsidR="00000000" w:rsidRPr="009C71C1" w:rsidP="009C71C1">
      <w:pPr>
        <w:pStyle w:val="BodyText"/>
      </w:pPr>
    </w:p>
    <w:p w:rsidR="00000000" w:rsidRPr="009C71C1" w:rsidP="009C71C1">
      <w:pPr>
        <w:pStyle w:val="AllowPageBreak"/>
      </w:pPr>
    </w:p>
    <w:p w:rsidR="00000000" w:rsidRPr="009C71C1" w:rsidP="009C71C1">
      <w:pPr>
        <w:pStyle w:val="Heading1"/>
      </w:pPr>
      <w:bookmarkStart w:id="6" w:name="O_986214"/>
      <w:bookmarkEnd w:id="6"/>
      <w:r w:rsidRPr="009C71C1">
        <w:t>Foundation Skills</w:t>
      </w:r>
    </w:p>
    <w:p w:rsidR="00000000" w:rsidRPr="009C71C1" w:rsidP="00CC52C1">
      <w:pPr>
        <w:pStyle w:val="BodyText"/>
      </w:pPr>
      <w:r w:rsidRPr="009C71C1">
        <w:t>This section describes those language, literacy, numeracy and employment skills that are essential to performance.</w:t>
      </w:r>
    </w:p>
    <w:p w:rsidR="00000000" w:rsidRPr="009C71C1" w:rsidP="00CC52C1">
      <w:pPr>
        <w:pStyle w:val="BodyText"/>
      </w:pPr>
      <w:r w:rsidRPr="009C71C1">
        <w:t>Foundation skills essential</w:t>
      </w:r>
      <w:r w:rsidRPr="009C71C1">
        <w:t xml:space="preserve"> to performance are explicit in the performance criteria of this unit of competency.</w:t>
      </w:r>
    </w:p>
    <w:p w:rsidR="00000000" w:rsidRPr="009C71C1" w:rsidP="009C71C1">
      <w:pPr>
        <w:pStyle w:val="Heading1"/>
      </w:pPr>
      <w:bookmarkStart w:id="7" w:name="O_986213"/>
      <w:bookmarkEnd w:id="7"/>
      <w:r w:rsidRPr="009C71C1">
        <w:t>Unit Mapping Information</w:t>
      </w:r>
    </w:p>
    <w:p w:rsidR="00000000" w:rsidRPr="009C71C1" w:rsidP="00CC52C1">
      <w:pPr>
        <w:pStyle w:val="BodyText"/>
      </w:pPr>
      <w:r w:rsidRPr="009C71C1">
        <w:t xml:space="preserve">Equivalent to MSL954001 Obtain representative samples in accordance with sampling plan, Release 1.  </w:t>
      </w:r>
    </w:p>
    <w:p w:rsidR="00000000" w:rsidRPr="009C71C1" w:rsidP="009C71C1">
      <w:pPr>
        <w:pStyle w:val="Heading1"/>
      </w:pPr>
      <w:bookmarkStart w:id="8" w:name="O_986206"/>
      <w:bookmarkEnd w:id="8"/>
      <w:r w:rsidRPr="009C71C1">
        <w:t>Links</w:t>
      </w:r>
    </w:p>
    <w:p w:rsidR="00000000" w:rsidRPr="009C71C1" w:rsidP="00CC52C1">
      <w:pPr>
        <w:pStyle w:val="BodyText"/>
      </w:pPr>
      <w:r w:rsidRPr="009C71C1">
        <w:t>MSL L</w:t>
      </w:r>
      <w:r w:rsidRPr="009C71C1">
        <w:t xml:space="preserve">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27B9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C71C1" w:rsidP="00CC52C1">
      <w:pPr>
        <w:pStyle w:val="BodyText"/>
        <w:sectPr w:rsidSect="009C71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71C1" w:rsidP="009C71C1">
      <w:pPr>
        <w:pStyle w:val="SuperHeading"/>
      </w:pPr>
      <w:r w:rsidRPr="009C71C1">
        <w:t xml:space="preserve">Assessment </w:t>
      </w:r>
      <w:r w:rsidRPr="009C71C1">
        <w:t>Requirements for MSL954004 Obtain representative samples in accordance with sampling plan</w:t>
      </w:r>
    </w:p>
    <w:p w:rsidR="00000000" w:rsidRPr="009C71C1" w:rsidP="009C71C1">
      <w:pPr>
        <w:pStyle w:val="Heading1"/>
      </w:pPr>
      <w:bookmarkStart w:id="9" w:name="O_986208"/>
      <w:bookmarkEnd w:id="9"/>
      <w:r w:rsidRPr="009C71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71C1" w:rsidP="009C71C1">
            <w:pPr>
              <w:pStyle w:val="BodyText"/>
            </w:pPr>
            <w:r w:rsidRPr="009C71C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rPr>
                <w:rStyle w:val="SpecialBold"/>
              </w:rPr>
              <w:t>Comments</w:t>
            </w:r>
          </w:p>
        </w:tc>
      </w:tr>
      <w:tr w:rsidTr="009C71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1C1">
            <w:pPr>
              <w:pStyle w:val="BodyText"/>
              <w:rPr>
                <w:lang w:val="en-NZ"/>
              </w:rPr>
            </w:pPr>
            <w:r w:rsidRPr="009C71C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1C1" w:rsidP="009C71C1">
            <w:pPr>
              <w:pStyle w:val="BodyText"/>
            </w:pPr>
            <w:r w:rsidRPr="009C71C1">
              <w:t xml:space="preserve">This version was released in </w:t>
            </w:r>
            <w:r w:rsidRPr="009C71C1">
              <w:rPr>
                <w:rStyle w:val="Emphasis"/>
              </w:rPr>
              <w:t>MSL Laboratory Operations Training Package Release 2.0.</w:t>
            </w:r>
          </w:p>
          <w:p w:rsidR="00000000" w:rsidRPr="009C71C1" w:rsidP="009C71C1">
            <w:pPr>
              <w:pStyle w:val="BodyText"/>
            </w:pPr>
            <w:r w:rsidRPr="009C71C1">
              <w:t>Supersedes and equivalent to MSL954001 Obtain representative samples in accordance with sampling plan. Range of conditions removed. Assessment requirements amended.</w:t>
            </w:r>
          </w:p>
        </w:tc>
      </w:tr>
    </w:tbl>
    <w:p w:rsidR="00000000" w:rsidRPr="009C71C1" w:rsidP="009C71C1">
      <w:pPr>
        <w:pStyle w:val="BodyText"/>
      </w:pPr>
    </w:p>
    <w:p w:rsidR="00000000" w:rsidRPr="009C71C1" w:rsidP="009C71C1">
      <w:pPr>
        <w:pStyle w:val="AllowPageBreak"/>
      </w:pPr>
    </w:p>
    <w:p w:rsidR="00000000" w:rsidRPr="009C71C1" w:rsidP="009C71C1">
      <w:pPr>
        <w:pStyle w:val="Heading1"/>
      </w:pPr>
      <w:bookmarkStart w:id="10" w:name="O_986211"/>
      <w:bookmarkEnd w:id="10"/>
      <w:r w:rsidRPr="009C71C1">
        <w:t>Performance Evidence</w:t>
      </w:r>
    </w:p>
    <w:p w:rsidR="00000000" w:rsidRPr="009C71C1" w:rsidP="00CC52C1">
      <w:pPr>
        <w:pStyle w:val="BodyText"/>
      </w:pPr>
      <w:r w:rsidRPr="009C71C1">
        <w:t xml:space="preserve">There must be evidence the candidate has completed </w:t>
      </w:r>
      <w:r w:rsidRPr="009C71C1">
        <w:t>the tasks outlined in the elements and performance criteria of this unit, and:</w:t>
      </w:r>
    </w:p>
    <w:p w:rsidR="00000000" w:rsidRPr="009C71C1" w:rsidP="009C71C1">
      <w:pPr>
        <w:pStyle w:val="ListBullet"/>
      </w:pPr>
      <w:r w:rsidRPr="009C71C1">
        <w:t>obtained samples from at least 3 different sampling points, that are representative of the source material and taken in accordance with a sampling plan.</w:t>
      </w:r>
    </w:p>
    <w:p w:rsidR="00000000" w:rsidRPr="009C71C1" w:rsidP="009C71C1">
      <w:pPr>
        <w:pStyle w:val="AllowPageBreak"/>
      </w:pPr>
    </w:p>
    <w:p w:rsidR="00000000" w:rsidRPr="009C71C1" w:rsidP="009C71C1">
      <w:pPr>
        <w:pStyle w:val="Heading1"/>
      </w:pPr>
      <w:bookmarkStart w:id="11" w:name="O_986210"/>
      <w:bookmarkEnd w:id="11"/>
      <w:r w:rsidRPr="009C71C1">
        <w:t>Knowledge Evidence</w:t>
      </w:r>
    </w:p>
    <w:p w:rsidR="00000000" w:rsidRPr="009C71C1" w:rsidP="00CC52C1">
      <w:pPr>
        <w:pStyle w:val="BodyText"/>
      </w:pPr>
      <w:r w:rsidRPr="009C71C1">
        <w:t>There must be evidence the candidate has knowledge of:</w:t>
      </w:r>
    </w:p>
    <w:p w:rsidR="00000000" w:rsidRPr="009C71C1" w:rsidP="009C71C1">
      <w:pPr>
        <w:pStyle w:val="ListBullet"/>
      </w:pPr>
      <w:r w:rsidRPr="009C71C1">
        <w:t>principles of representative sampling, including:</w:t>
      </w:r>
    </w:p>
    <w:p w:rsidR="00000000" w:rsidRPr="009C71C1" w:rsidP="009C71C1">
      <w:pPr>
        <w:pStyle w:val="ListBullet2"/>
      </w:pPr>
      <w:r w:rsidRPr="009C71C1">
        <w:t>representative samples</w:t>
      </w:r>
    </w:p>
    <w:p w:rsidR="00000000" w:rsidRPr="009C71C1" w:rsidP="009C71C1">
      <w:pPr>
        <w:pStyle w:val="ListBullet2"/>
      </w:pPr>
      <w:r w:rsidRPr="009C71C1">
        <w:t>preservation of integrity of samples</w:t>
      </w:r>
    </w:p>
    <w:p w:rsidR="00000000" w:rsidRPr="009C71C1" w:rsidP="009C71C1">
      <w:pPr>
        <w:pStyle w:val="ListBullet2"/>
      </w:pPr>
      <w:r w:rsidRPr="009C71C1">
        <w:t>maintaining identification of samples relative to their source, workpl</w:t>
      </w:r>
      <w:r w:rsidRPr="009C71C1">
        <w:t>ace and legal traceability</w:t>
      </w:r>
    </w:p>
    <w:p w:rsidR="00000000" w:rsidRPr="009C71C1" w:rsidP="009C71C1">
      <w:pPr>
        <w:pStyle w:val="ListBullet2"/>
      </w:pPr>
      <w:r w:rsidRPr="009C71C1">
        <w:t>cost-effectiveness of sampling</w:t>
      </w:r>
    </w:p>
    <w:p w:rsidR="00000000" w:rsidRPr="009C71C1" w:rsidP="009C71C1">
      <w:pPr>
        <w:pStyle w:val="ListBullet2"/>
      </w:pPr>
      <w:r w:rsidRPr="009C71C1">
        <w:t>consistency of sampling procedures</w:t>
      </w:r>
    </w:p>
    <w:p w:rsidR="00000000" w:rsidRPr="009C71C1" w:rsidP="009C71C1">
      <w:pPr>
        <w:pStyle w:val="ListBullet"/>
      </w:pPr>
      <w:r w:rsidRPr="009C71C1">
        <w:t>function of key sampling equipment/materials and principles of operation</w:t>
      </w:r>
    </w:p>
    <w:p w:rsidR="00000000" w:rsidRPr="009C71C1" w:rsidP="009C71C1">
      <w:pPr>
        <w:pStyle w:val="ListBullet"/>
      </w:pPr>
      <w:r w:rsidRPr="009C71C1">
        <w:t>sampling principles, including random, systematic and stratified sampling</w:t>
      </w:r>
    </w:p>
    <w:p w:rsidR="00000000" w:rsidRPr="009C71C1" w:rsidP="009C71C1">
      <w:pPr>
        <w:pStyle w:val="ListBullet"/>
      </w:pPr>
      <w:r w:rsidRPr="009C71C1">
        <w:t>characteristics</w:t>
      </w:r>
      <w:r w:rsidRPr="009C71C1">
        <w:t xml:space="preserve"> of product/materials sampled as part of job role and likely contaminants</w:t>
      </w:r>
    </w:p>
    <w:p w:rsidR="00000000" w:rsidRPr="009C71C1" w:rsidP="009C71C1">
      <w:pPr>
        <w:pStyle w:val="ListBullet"/>
      </w:pPr>
      <w:r w:rsidRPr="009C71C1">
        <w:t>methods to maintain the integrity of samples</w:t>
      </w:r>
    </w:p>
    <w:p w:rsidR="00000000" w:rsidRPr="009C71C1" w:rsidP="009C71C1">
      <w:pPr>
        <w:pStyle w:val="ListBullet"/>
      </w:pPr>
      <w:r w:rsidRPr="009C71C1">
        <w:t>maps and site plans</w:t>
      </w:r>
    </w:p>
    <w:p w:rsidR="00000000" w:rsidRPr="009C71C1" w:rsidP="009C71C1">
      <w:pPr>
        <w:pStyle w:val="ListBullet"/>
      </w:pPr>
      <w:r w:rsidRPr="009C71C1">
        <w:t>links between quality control, quality assurance, quality management systems and sampling procedures</w:t>
      </w:r>
    </w:p>
    <w:p w:rsidR="00000000" w:rsidRPr="009C71C1" w:rsidP="009C71C1">
      <w:pPr>
        <w:pStyle w:val="ListBullet"/>
      </w:pPr>
      <w:r w:rsidRPr="009C71C1">
        <w:t>site and sampling hazards and the links between following WHS procedures and personal and environmental safety, particularly at high risk sites</w:t>
      </w:r>
    </w:p>
    <w:p w:rsidR="00000000" w:rsidRPr="009C71C1" w:rsidP="009C71C1">
      <w:pPr>
        <w:pStyle w:val="ListBullet"/>
      </w:pPr>
      <w:r w:rsidRPr="009C71C1">
        <w:t>workplace and/or legal traceability requirements</w:t>
      </w:r>
    </w:p>
    <w:p w:rsidR="00000000" w:rsidRPr="009C71C1" w:rsidP="009C71C1">
      <w:pPr>
        <w:pStyle w:val="ListBullet"/>
      </w:pPr>
      <w:r w:rsidRPr="009C71C1">
        <w:t>awareness of environmental sustainability issues as they relate</w:t>
      </w:r>
      <w:r w:rsidRPr="009C71C1">
        <w:t xml:space="preserve"> to the work task</w:t>
      </w:r>
    </w:p>
    <w:p w:rsidR="00000000" w:rsidRPr="009C71C1" w:rsidP="009C71C1">
      <w:pPr>
        <w:pStyle w:val="ListBullet"/>
      </w:pPr>
      <w:r w:rsidRPr="009C71C1">
        <w:t xml:space="preserve">legal, ethical and work health and safety (WHS) requirements specific to the work task.  </w:t>
      </w:r>
    </w:p>
    <w:p w:rsidR="00000000" w:rsidRPr="009C71C1" w:rsidP="009C71C1">
      <w:pPr>
        <w:pStyle w:val="AllowPageBreak"/>
      </w:pPr>
    </w:p>
    <w:p w:rsidR="00000000" w:rsidRPr="009C71C1" w:rsidP="009C71C1">
      <w:pPr>
        <w:pStyle w:val="Heading1"/>
      </w:pPr>
      <w:bookmarkStart w:id="12" w:name="O_986209"/>
      <w:bookmarkEnd w:id="12"/>
      <w:r w:rsidRPr="009C71C1">
        <w:t>Assessment Conditions</w:t>
      </w:r>
    </w:p>
    <w:p w:rsidR="00000000" w:rsidRPr="009C71C1" w:rsidP="00CC52C1">
      <w:pPr>
        <w:pStyle w:val="BodyText"/>
      </w:pPr>
      <w:r w:rsidRPr="009C71C1">
        <w:t>Skills must have been demonstrated in the workplace or in a simulated environment that reflects workplace con</w:t>
      </w:r>
      <w:r w:rsidRPr="009C71C1">
        <w:t xml:space="preserve">ditions and contingencies. The following conditions must be met for this unit: </w:t>
      </w:r>
    </w:p>
    <w:p w:rsidR="00000000" w:rsidRPr="009C71C1" w:rsidP="009C71C1">
      <w:pPr>
        <w:pStyle w:val="ListBullet"/>
      </w:pPr>
      <w:r w:rsidRPr="009C71C1">
        <w:t xml:space="preserve">use of suitable facilities, equipment and resources, including: </w:t>
      </w:r>
    </w:p>
    <w:p w:rsidR="00000000" w:rsidRPr="009C71C1" w:rsidP="009C71C1">
      <w:pPr>
        <w:pStyle w:val="ListBullet2"/>
      </w:pPr>
      <w:r w:rsidRPr="009C71C1">
        <w:t>source material</w:t>
      </w:r>
    </w:p>
    <w:p w:rsidR="00000000" w:rsidRPr="009C71C1" w:rsidP="009C71C1">
      <w:pPr>
        <w:pStyle w:val="ListBullet2"/>
      </w:pPr>
      <w:r w:rsidRPr="009C71C1">
        <w:t>a variety of sample types</w:t>
      </w:r>
    </w:p>
    <w:p w:rsidR="00000000" w:rsidRPr="009C71C1" w:rsidP="009C71C1">
      <w:pPr>
        <w:pStyle w:val="ListBullet2"/>
      </w:pPr>
      <w:r w:rsidRPr="009C71C1">
        <w:t>sampling plans and procedures, sampling containers and sampling equipment, and sample preparation materials and equipment.</w:t>
      </w:r>
    </w:p>
    <w:p w:rsidR="00000000" w:rsidRPr="009C71C1" w:rsidP="00CC52C1">
      <w:pPr>
        <w:pStyle w:val="BodyText"/>
      </w:pPr>
      <w:r w:rsidRPr="009C71C1">
        <w:br/>
        <w:t>Assessors must satisfy the NVR/AQTF mandatory competency requirements for assessors.</w:t>
      </w:r>
    </w:p>
    <w:p w:rsidR="00000000" w:rsidRPr="009C71C1" w:rsidP="009C71C1">
      <w:pPr>
        <w:pStyle w:val="AllowPageBreak"/>
      </w:pPr>
    </w:p>
    <w:p w:rsidR="00000000" w:rsidRPr="009C71C1" w:rsidP="009C71C1">
      <w:pPr>
        <w:pStyle w:val="Heading1"/>
      </w:pPr>
      <w:bookmarkStart w:id="13" w:name="O_986207"/>
      <w:bookmarkEnd w:id="13"/>
      <w:r w:rsidRPr="009C71C1">
        <w:t>Links</w:t>
      </w:r>
    </w:p>
    <w:p w:rsidR="00000000" w:rsidRPr="009C71C1" w:rsidP="00CC52C1">
      <w:pPr>
        <w:pStyle w:val="BodyText"/>
      </w:pPr>
      <w:r w:rsidRPr="009C71C1">
        <w:t>MSL Laboratory Operation</w:t>
      </w:r>
      <w:r w:rsidRPr="009C71C1">
        <w:t xml:space="preserve">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27B9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C71C1" w:rsidP="009C71C1"/>
    <w:sectPr w:rsidSect="009C71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C1" w:rsidRPr="00CC52C1" w:rsidP="00CC5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1" w:rsidP="009C7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2C1" w:rsidP="009C7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C52C1" w:rsidP="009C71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C1" w:rsidP="009C7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52C1">
      <w:t>Approved</w:t>
    </w:r>
    <w:r w:rsidR="00CC52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52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52C1">
      <w:rPr>
        <w:noProof/>
      </w:rPr>
      <w:t>4</w:t>
    </w:r>
    <w:r>
      <w:rPr>
        <w:noProof/>
      </w:rPr>
      <w:fldChar w:fldCharType="end"/>
    </w:r>
  </w:p>
  <w:p w:rsidR="009C71C1" w:rsidP="009C7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52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52C1">
      <w:t>Manufacturing Industry Skills Alliance</w:t>
    </w:r>
    <w:r w:rsidR="00CC52C1">
      <w:fldChar w:fldCharType="end"/>
    </w:r>
  </w:p>
  <w:p w:rsidR="009C71C1" w:rsidP="009C7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1C1" w:rsidRPr="00CC52C1" w:rsidP="00CC52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1" w:rsidRPr="002D2AF8" w:rsidP="009C7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MSL954004 Obtain representative samples in accordance with sampling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52C1" w:rsidP="009C71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1C1" w:rsidRPr="002D2AF8" w:rsidP="009C7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52C1">
      <w:t>MSL954004 Obtain representative samples in accordance with sampling plan</w:t>
    </w:r>
    <w:r w:rsidR="00CC52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52C1">
      <w:rPr>
        <w:noProof/>
      </w:rPr>
      <w:t>2 March 2025</w:t>
    </w:r>
    <w:r>
      <w:fldChar w:fldCharType="end"/>
    </w:r>
  </w:p>
  <w:p w:rsidR="009C71C1" w:rsidP="009C7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188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9E3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582B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1C1"/>
  </w:style>
  <w:style w:type="character" w:customStyle="1" w:styleId="Heading1Char">
    <w:name w:val="Heading 1 Char"/>
    <w:basedOn w:val="DefaultParagraphFont"/>
    <w:link w:val="Heading1"/>
    <w:rsid w:val="009C7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1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1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1C1"/>
    <w:rPr>
      <w:b/>
      <w:spacing w:val="0"/>
    </w:rPr>
  </w:style>
  <w:style w:type="paragraph" w:styleId="ListBullet2">
    <w:name w:val="List Bullet 2"/>
    <w:basedOn w:val="List2"/>
    <w:rsid w:val="009C71C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71C1"/>
    <w:rPr>
      <w:i/>
    </w:rPr>
  </w:style>
  <w:style w:type="paragraph" w:customStyle="1" w:styleId="SuperHeading">
    <w:name w:val="SuperHeading"/>
    <w:basedOn w:val="Normal"/>
    <w:rsid w:val="009C7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1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1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7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1C1"/>
  </w:style>
  <w:style w:type="paragraph" w:styleId="TableofFigures">
    <w:name w:val="table of figures"/>
    <w:basedOn w:val="Normal"/>
    <w:next w:val="Normal"/>
    <w:semiHidden/>
    <w:rsid w:val="009C7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1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1C1"/>
    <w:rPr>
      <w:rFonts w:ascii="Wingdings" w:hAnsi="Wingdings"/>
    </w:rPr>
  </w:style>
  <w:style w:type="paragraph" w:customStyle="1" w:styleId="TableHeading">
    <w:name w:val="Table Heading"/>
    <w:basedOn w:val="HeadingBase"/>
    <w:rsid w:val="009C7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1C1"/>
    <w:rPr>
      <w:color w:val="0033CC"/>
      <w:u w:val="none"/>
    </w:rPr>
  </w:style>
  <w:style w:type="paragraph" w:customStyle="1" w:styleId="BodyTextRight">
    <w:name w:val="Body Text Right"/>
    <w:basedOn w:val="BodyText"/>
    <w:rsid w:val="009C7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1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1C1"/>
    <w:rPr>
      <w:sz w:val="32"/>
    </w:rPr>
  </w:style>
  <w:style w:type="paragraph" w:customStyle="1" w:styleId="HeadingProcedure">
    <w:name w:val="Heading Procedure"/>
    <w:basedOn w:val="HeadingBase"/>
    <w:next w:val="Normal"/>
    <w:rsid w:val="009C7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1C1"/>
    <w:pPr>
      <w:spacing w:before="60" w:after="60"/>
    </w:pPr>
  </w:style>
  <w:style w:type="paragraph" w:styleId="ListContinue">
    <w:name w:val="List Continue"/>
    <w:basedOn w:val="List"/>
    <w:rsid w:val="009C71C1"/>
    <w:pPr>
      <w:ind w:firstLine="0"/>
    </w:pPr>
  </w:style>
  <w:style w:type="paragraph" w:customStyle="1" w:styleId="ListNote">
    <w:name w:val="List Note"/>
    <w:basedOn w:val="List"/>
    <w:rsid w:val="009C7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1C1"/>
    <w:rPr>
      <w:rFonts w:ascii="Courier New" w:hAnsi="Courier New"/>
    </w:rPr>
  </w:style>
  <w:style w:type="paragraph" w:customStyle="1" w:styleId="NoteBullet">
    <w:name w:val="Note Bullet"/>
    <w:basedOn w:val="Note"/>
    <w:rsid w:val="009C7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1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1C1"/>
    <w:rPr>
      <w:b/>
      <w:smallCaps/>
    </w:rPr>
  </w:style>
  <w:style w:type="paragraph" w:customStyle="1" w:styleId="TableListNumber">
    <w:name w:val="Table List Number"/>
    <w:basedOn w:val="ListNumber"/>
    <w:rsid w:val="009C7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1C1"/>
    <w:pPr>
      <w:numPr>
        <w:numId w:val="9"/>
      </w:numPr>
    </w:pPr>
  </w:style>
  <w:style w:type="paragraph" w:customStyle="1" w:styleId="ListAlpha2">
    <w:name w:val="List Alpha 2"/>
    <w:basedOn w:val="List2"/>
    <w:rsid w:val="009C71C1"/>
    <w:pPr>
      <w:numPr>
        <w:numId w:val="8"/>
      </w:numPr>
    </w:pPr>
  </w:style>
  <w:style w:type="paragraph" w:styleId="List2">
    <w:name w:val="List 2"/>
    <w:basedOn w:val="BodyText"/>
    <w:rsid w:val="009C7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1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1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1C1"/>
    <w:pPr>
      <w:numPr>
        <w:numId w:val="4"/>
      </w:numPr>
    </w:pPr>
  </w:style>
  <w:style w:type="paragraph" w:styleId="ListContinue2">
    <w:name w:val="List Continue 2"/>
    <w:basedOn w:val="List2"/>
    <w:rsid w:val="009C71C1"/>
    <w:pPr>
      <w:ind w:firstLine="0"/>
    </w:pPr>
  </w:style>
  <w:style w:type="paragraph" w:styleId="ListContinue3">
    <w:name w:val="List Continue 3"/>
    <w:basedOn w:val="List3"/>
    <w:rsid w:val="009C71C1"/>
    <w:pPr>
      <w:ind w:left="1021" w:firstLine="0"/>
    </w:pPr>
  </w:style>
  <w:style w:type="paragraph" w:styleId="ListContinue4">
    <w:name w:val="List Continue 4"/>
    <w:basedOn w:val="List4"/>
    <w:rsid w:val="009C71C1"/>
    <w:pPr>
      <w:ind w:firstLine="0"/>
    </w:pPr>
  </w:style>
  <w:style w:type="paragraph" w:styleId="ListContinue5">
    <w:name w:val="List Continue 5"/>
    <w:basedOn w:val="List5"/>
    <w:rsid w:val="009C71C1"/>
    <w:pPr>
      <w:ind w:firstLine="0"/>
    </w:pPr>
  </w:style>
  <w:style w:type="paragraph" w:styleId="ListNumber3">
    <w:name w:val="List Number 3"/>
    <w:basedOn w:val="List3"/>
    <w:rsid w:val="009C71C1"/>
    <w:pPr>
      <w:numPr>
        <w:numId w:val="5"/>
      </w:numPr>
    </w:pPr>
  </w:style>
  <w:style w:type="paragraph" w:styleId="ListNumber4">
    <w:name w:val="List Number 4"/>
    <w:basedOn w:val="List4"/>
    <w:rsid w:val="009C71C1"/>
    <w:pPr>
      <w:numPr>
        <w:numId w:val="6"/>
      </w:numPr>
    </w:pPr>
  </w:style>
  <w:style w:type="paragraph" w:styleId="ListNumber5">
    <w:name w:val="List Number 5"/>
    <w:basedOn w:val="List5"/>
    <w:rsid w:val="009C71C1"/>
    <w:pPr>
      <w:numPr>
        <w:numId w:val="7"/>
      </w:numPr>
    </w:pPr>
  </w:style>
  <w:style w:type="paragraph" w:styleId="BlockText">
    <w:name w:val="Block Text"/>
    <w:basedOn w:val="Normal"/>
    <w:rsid w:val="009C7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1C1"/>
    <w:rPr>
      <w:sz w:val="16"/>
      <w:vertAlign w:val="superscript"/>
    </w:rPr>
  </w:style>
  <w:style w:type="character" w:customStyle="1" w:styleId="Symbols">
    <w:name w:val="Symbols"/>
    <w:basedOn w:val="DefaultParagraphFont"/>
    <w:rsid w:val="009C71C1"/>
    <w:rPr>
      <w:rFonts w:ascii="Symbol" w:hAnsi="Symbol"/>
    </w:rPr>
  </w:style>
  <w:style w:type="character" w:customStyle="1" w:styleId="MenuOptions">
    <w:name w:val="Menu Options"/>
    <w:basedOn w:val="DefaultParagraphFont"/>
    <w:rsid w:val="009C7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1C1"/>
    <w:rPr>
      <w:b/>
    </w:rPr>
  </w:style>
  <w:style w:type="character" w:customStyle="1" w:styleId="Underlined">
    <w:name w:val="Underlined"/>
    <w:basedOn w:val="DefaultParagraphFont"/>
    <w:rsid w:val="009C71C1"/>
    <w:rPr>
      <w:u w:val="single"/>
    </w:rPr>
  </w:style>
  <w:style w:type="paragraph" w:customStyle="1" w:styleId="TableBodyTextRight">
    <w:name w:val="Table Body Text Right"/>
    <w:basedOn w:val="TableBodyText"/>
    <w:rsid w:val="009C7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1C1"/>
    <w:rPr>
      <w:sz w:val="18"/>
    </w:rPr>
  </w:style>
  <w:style w:type="paragraph" w:customStyle="1" w:styleId="BodySmallRight">
    <w:name w:val="Body Small Right"/>
    <w:basedOn w:val="BodyTextRight"/>
    <w:rsid w:val="009C71C1"/>
    <w:rPr>
      <w:sz w:val="18"/>
      <w:szCs w:val="18"/>
    </w:rPr>
  </w:style>
  <w:style w:type="paragraph" w:customStyle="1" w:styleId="MarginEdition">
    <w:name w:val="Margin Edition"/>
    <w:basedOn w:val="MarginNote"/>
    <w:rsid w:val="009C7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1C1"/>
    <w:rPr>
      <w:sz w:val="2"/>
      <w:szCs w:val="2"/>
    </w:rPr>
  </w:style>
  <w:style w:type="character" w:customStyle="1" w:styleId="Small">
    <w:name w:val="Small"/>
    <w:basedOn w:val="DefaultParagraphFont"/>
    <w:rsid w:val="009C71C1"/>
    <w:rPr>
      <w:sz w:val="16"/>
    </w:rPr>
  </w:style>
  <w:style w:type="paragraph" w:customStyle="1" w:styleId="WideTable">
    <w:name w:val="Wide Table"/>
    <w:basedOn w:val="Normal"/>
    <w:rsid w:val="009C7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1C1"/>
  </w:style>
  <w:style w:type="paragraph" w:styleId="Quote">
    <w:name w:val="Quote"/>
    <w:basedOn w:val="Heading1"/>
    <w:link w:val="QuoteChar"/>
    <w:qFormat/>
    <w:rsid w:val="009C7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1C1"/>
    <w:pPr>
      <w:pageBreakBefore/>
    </w:pPr>
  </w:style>
  <w:style w:type="paragraph" w:customStyle="1" w:styleId="Border">
    <w:name w:val="Border"/>
    <w:basedOn w:val="Normal"/>
    <w:qFormat/>
    <w:rsid w:val="009C7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1C1"/>
    <w:rPr>
      <w:u w:val="single"/>
    </w:rPr>
  </w:style>
  <w:style w:type="character" w:customStyle="1" w:styleId="BoldandItalics">
    <w:name w:val="Bold and Italics"/>
    <w:qFormat/>
    <w:rsid w:val="009C71C1"/>
    <w:rPr>
      <w:b/>
      <w:i/>
      <w:u w:val="none"/>
    </w:rPr>
  </w:style>
  <w:style w:type="paragraph" w:styleId="BalloonText">
    <w:name w:val="Balloon Text"/>
    <w:basedOn w:val="Normal"/>
    <w:link w:val="BalloonTextChar"/>
    <w:rsid w:val="009C7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1C1"/>
    <w:pPr>
      <w:spacing w:before="0" w:after="0"/>
    </w:pPr>
  </w:style>
  <w:style w:type="paragraph" w:customStyle="1" w:styleId="BodyTextBold">
    <w:name w:val="Body Text Bold"/>
    <w:basedOn w:val="BodyText"/>
    <w:qFormat/>
    <w:rsid w:val="009C71C1"/>
    <w:rPr>
      <w:b/>
    </w:rPr>
  </w:style>
  <w:style w:type="character" w:styleId="Hyperlink">
    <w:name w:val="Hyperlink"/>
    <w:basedOn w:val="DefaultParagraphFont"/>
    <w:uiPriority w:val="99"/>
    <w:unhideWhenUsed/>
    <w:rsid w:val="00CC52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998</Words>
  <Characters>6450</Characters>
  <Application>Microsoft Office Word</Application>
  <DocSecurity>0</DocSecurity>
  <Lines>280</Lines>
  <Paragraphs>148</Paragraphs>
  <ScaleCrop>false</ScaleCrop>
  <Company>Author-it Software Corporation Ltd.</Company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MSL954004 Obtain representative samples in accordance with sampling plan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2025-03-01T19:22:00Z</dcterms:created>
  <dcterms:modified xsi:type="dcterms:W3CDTF">2025-03-01T19:22:00Z</dcterms:modified>
</cp:coreProperties>
</file>