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7750" w:rsidP="006E7750">
      <w:pPr>
        <w:pStyle w:val="Title"/>
      </w:pPr>
      <w:r>
        <w:fldChar w:fldCharType="begin"/>
      </w:r>
      <w:r>
        <w:instrText xml:space="preserve"> TITLE   \* MERGEFORMAT </w:instrText>
      </w:r>
      <w:r>
        <w:fldChar w:fldCharType="separate"/>
      </w:r>
      <w:r>
        <w:t>MSL954002 Prepare mineral samples for analysis</w:t>
      </w:r>
      <w:r>
        <w:fldChar w:fldCharType="end"/>
      </w:r>
    </w:p>
    <w:p w:rsidR="006E7750" w:rsidP="006E7750">
      <w:pPr>
        <w:pStyle w:val="Version"/>
        <w:sectPr w:rsidSect="00E77D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7D28" w:rsidP="00E77D28">
      <w:pPr>
        <w:pStyle w:val="SuperHeading"/>
      </w:pPr>
      <w:r w:rsidRPr="00E77D28">
        <w:t>MSL954002 Prepare mineral samples for analysis</w:t>
      </w:r>
    </w:p>
    <w:p w:rsidR="00000000" w:rsidRPr="00E77D28" w:rsidP="00E77D28">
      <w:pPr>
        <w:pStyle w:val="Heading1"/>
      </w:pPr>
      <w:bookmarkStart w:id="1" w:name="O_902959"/>
      <w:bookmarkEnd w:id="1"/>
      <w:r w:rsidRPr="00E77D28">
        <w:t>Modification History</w:t>
      </w:r>
    </w:p>
    <w:p w:rsidR="00000000" w:rsidRPr="00E77D28" w:rsidP="00E77D28">
      <w:pPr>
        <w:pStyle w:val="BodyText"/>
      </w:pPr>
      <w:r w:rsidRPr="00E77D28">
        <w:t xml:space="preserve">Release 1. Supersedes and is equivalent to MSL954002A Prepare mineral samples for analysis  </w:t>
      </w:r>
    </w:p>
    <w:p w:rsidR="00000000" w:rsidRPr="00E77D28" w:rsidP="00E77D28">
      <w:pPr>
        <w:pStyle w:val="AllowPageBreak"/>
      </w:pPr>
    </w:p>
    <w:p w:rsidR="00000000" w:rsidRPr="00E77D28" w:rsidP="00E77D28">
      <w:pPr>
        <w:pStyle w:val="Heading1"/>
      </w:pPr>
      <w:bookmarkStart w:id="2" w:name="O_902967"/>
      <w:bookmarkEnd w:id="2"/>
      <w:r w:rsidRPr="00E77D28">
        <w:t>Application</w:t>
      </w:r>
    </w:p>
    <w:p w:rsidR="00000000" w:rsidRPr="00E77D28" w:rsidP="00E77D28">
      <w:pPr>
        <w:pStyle w:val="BodyText"/>
      </w:pPr>
      <w:r w:rsidRPr="00E77D28">
        <w:t>The unit of competency covers the ability to reduce given mineral samples to representative client sample</w:t>
      </w:r>
      <w:r w:rsidRPr="00E77D28">
        <w:t>s and analytical portions that meet client requirements for analysis. Personnel are also required to recognise problems and invalid preparation steps and take appropriate corrective actions.</w:t>
      </w:r>
    </w:p>
    <w:p w:rsidR="00000000" w:rsidRPr="00E77D28" w:rsidP="00E77D28">
      <w:pPr>
        <w:pStyle w:val="BodyText"/>
      </w:pPr>
    </w:p>
    <w:p w:rsidR="00000000" w:rsidRPr="00E77D28" w:rsidP="00E77D28">
      <w:pPr>
        <w:pStyle w:val="BodyText"/>
      </w:pPr>
      <w:r w:rsidRPr="00E77D28">
        <w:t>This unit of competency is applicable to technical assistants wo</w:t>
      </w:r>
      <w:r w:rsidRPr="00E77D28">
        <w:t>rking in the mineral assay and construction materials testing sectors.</w:t>
      </w:r>
    </w:p>
    <w:p w:rsidR="00000000" w:rsidRPr="00E77D28" w:rsidP="00E77D28">
      <w:pPr>
        <w:pStyle w:val="BodyText"/>
      </w:pPr>
    </w:p>
    <w:p w:rsidR="00000000" w:rsidRPr="00E77D28" w:rsidP="00E77D28">
      <w:pPr>
        <w:pStyle w:val="BodyText"/>
      </w:pPr>
      <w:r w:rsidRPr="00E77D28">
        <w:t xml:space="preserve">While no specific licensing or certification requirements apply to this unit at the time of publication, laboratory operations are governed by relevant legislation, regulations and/or </w:t>
      </w:r>
      <w:r w:rsidRPr="00E77D28">
        <w:t>external accreditation requirements. Local requirements should be checked.</w:t>
      </w:r>
    </w:p>
    <w:p w:rsidR="00000000" w:rsidRPr="00E77D28" w:rsidP="00E77D28">
      <w:pPr>
        <w:pStyle w:val="AllowPageBreak"/>
      </w:pPr>
    </w:p>
    <w:p w:rsidR="00000000" w:rsidRPr="00E77D28" w:rsidP="00E77D28">
      <w:pPr>
        <w:pStyle w:val="Heading1"/>
      </w:pPr>
      <w:bookmarkStart w:id="3" w:name="O_902966"/>
      <w:bookmarkEnd w:id="3"/>
      <w:r w:rsidRPr="00E77D28">
        <w:t>Pre-requisite Unit</w:t>
      </w:r>
    </w:p>
    <w:p w:rsidR="00000000" w:rsidRPr="00E77D28" w:rsidP="00E77D28">
      <w:pPr>
        <w:pStyle w:val="BodyText"/>
      </w:pPr>
      <w:r w:rsidRPr="00E77D28">
        <w:t>Nil</w:t>
      </w:r>
    </w:p>
    <w:p w:rsidR="00000000" w:rsidRPr="00E77D28" w:rsidP="00E77D28">
      <w:pPr>
        <w:pStyle w:val="AllowPageBreak"/>
      </w:pPr>
    </w:p>
    <w:p w:rsidR="00000000" w:rsidRPr="00E77D28" w:rsidP="00E77D28">
      <w:pPr>
        <w:pStyle w:val="Heading1"/>
      </w:pPr>
      <w:bookmarkStart w:id="4" w:name="O_902965"/>
      <w:bookmarkEnd w:id="4"/>
      <w:r w:rsidRPr="00E77D28">
        <w:t>Competency Field</w:t>
      </w:r>
    </w:p>
    <w:p w:rsidR="00000000" w:rsidRPr="00E77D28" w:rsidP="00E77D28">
      <w:pPr>
        <w:pStyle w:val="BodyText"/>
      </w:pPr>
      <w:r w:rsidRPr="00E77D28">
        <w:t>Sampling</w:t>
      </w:r>
    </w:p>
    <w:p w:rsidR="00000000" w:rsidRPr="00E77D28" w:rsidP="00E77D28">
      <w:pPr>
        <w:pStyle w:val="AllowPageBreak"/>
      </w:pPr>
    </w:p>
    <w:p w:rsidR="00000000" w:rsidRPr="00E77D28" w:rsidP="00E77D28">
      <w:pPr>
        <w:pStyle w:val="Heading1"/>
      </w:pPr>
      <w:bookmarkStart w:id="5" w:name="O_902964"/>
      <w:bookmarkEnd w:id="5"/>
      <w:r w:rsidRPr="00E77D28">
        <w:t>Unit Sector</w:t>
      </w:r>
    </w:p>
    <w:p w:rsidR="00000000" w:rsidRPr="00E77D28" w:rsidP="00E77D28">
      <w:pPr>
        <w:pStyle w:val="Heading1"/>
      </w:pPr>
      <w:bookmarkStart w:id="6" w:name="O_902963"/>
      <w:bookmarkEnd w:id="6"/>
      <w:r w:rsidRPr="00E77D2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77D2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77D28">
            <w:pPr>
              <w:pStyle w:val="BodyText"/>
              <w:rPr>
                <w:lang w:val="en-NZ"/>
              </w:rPr>
            </w:pPr>
            <w:r w:rsidRPr="00E77D28">
              <w:t>Elements describe t</w:t>
            </w:r>
            <w:r w:rsidRPr="00E77D28">
              <w: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77D28">
            <w:pPr>
              <w:pStyle w:val="BodyText"/>
              <w:rPr>
                <w:lang w:val="en-NZ"/>
              </w:rPr>
            </w:pPr>
            <w:r w:rsidRPr="00E77D28">
              <w:t>Performance criteria describe the performance needed to demonstrate achievement of the element.</w:t>
            </w:r>
          </w:p>
        </w:tc>
      </w:tr>
      <w:tr w:rsidTr="00E77D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77D28" w:rsidP="00E77D28">
            <w:pPr>
              <w:pStyle w:val="BodyText"/>
            </w:pPr>
            <w:r w:rsidRPr="00E77D28">
              <w:t>1</w:t>
            </w:r>
          </w:p>
        </w:tc>
        <w:tc>
          <w:tcPr>
            <w:tcW w:w="1962" w:type="dxa"/>
            <w:vMerge w:val="restart"/>
            <w:tcBorders>
              <w:top w:val="nil"/>
              <w:left w:val="nil"/>
              <w:bottom w:val="nil"/>
              <w:right w:val="nil"/>
            </w:tcBorders>
            <w:tcMar>
              <w:top w:w="0" w:type="dxa"/>
              <w:left w:w="62" w:type="dxa"/>
              <w:bottom w:w="0" w:type="dxa"/>
              <w:right w:w="62" w:type="dxa"/>
            </w:tcMar>
          </w:tcPr>
          <w:p w:rsidR="00000000" w:rsidP="00E77D28">
            <w:pPr>
              <w:pStyle w:val="BodyText"/>
              <w:rPr>
                <w:lang w:val="en-NZ"/>
              </w:rPr>
            </w:pPr>
            <w:r w:rsidRPr="00E77D28">
              <w:rPr>
                <w:rStyle w:val="SpecialBold"/>
              </w:rPr>
              <w:t>Interpret and schedule client requirements</w:t>
            </w:r>
          </w:p>
        </w:tc>
        <w:tc>
          <w:tcPr>
            <w:tcW w:w="770" w:type="dxa"/>
            <w:tcBorders>
              <w:top w:val="nil"/>
              <w:left w:val="nil"/>
              <w:bottom w:val="nil"/>
              <w:right w:val="nil"/>
            </w:tcBorders>
            <w:tcMar>
              <w:top w:w="0" w:type="dxa"/>
              <w:left w:w="62" w:type="dxa"/>
              <w:bottom w:w="0" w:type="dxa"/>
              <w:right w:w="62" w:type="dxa"/>
            </w:tcMar>
          </w:tcPr>
          <w:p w:rsidR="00000000" w:rsidP="00E77D28">
            <w:pPr>
              <w:pStyle w:val="BodyText"/>
              <w:rPr>
                <w:lang w:val="en-NZ"/>
              </w:rPr>
            </w:pPr>
            <w:r w:rsidRPr="00E77D28">
              <w:t>1.1</w:t>
            </w:r>
          </w:p>
        </w:tc>
        <w:tc>
          <w:tcPr>
            <w:tcW w:w="5610" w:type="dxa"/>
            <w:tcBorders>
              <w:top w:val="nil"/>
              <w:left w:val="nil"/>
              <w:bottom w:val="nil"/>
              <w:right w:val="nil"/>
            </w:tcBorders>
            <w:tcMar>
              <w:top w:w="0" w:type="dxa"/>
              <w:left w:w="62" w:type="dxa"/>
              <w:bottom w:w="0" w:type="dxa"/>
              <w:right w:w="62" w:type="dxa"/>
            </w:tcMar>
          </w:tcPr>
          <w:p w:rsidR="00000000" w:rsidP="00E77D28">
            <w:pPr>
              <w:pStyle w:val="BodyText"/>
              <w:rPr>
                <w:lang w:val="en-NZ"/>
              </w:rPr>
            </w:pPr>
            <w:r w:rsidRPr="00E77D28">
              <w:t>Review client request to identify sample/analysis requirements, preparation methods and equipment involved</w:t>
            </w:r>
          </w:p>
        </w:tc>
      </w:tr>
      <w:tr w:rsidTr="00E77D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7D28">
            <w:pPr>
              <w:pStyle w:val="BodyText"/>
              <w:rPr>
                <w:lang w:val="en-NZ"/>
              </w:rPr>
            </w:pPr>
            <w:r w:rsidRPr="00E77D28">
              <w:t>1.2</w:t>
            </w:r>
          </w:p>
        </w:tc>
        <w:tc>
          <w:tcPr>
            <w:tcW w:w="5610" w:type="dxa"/>
            <w:tcBorders>
              <w:top w:val="nil"/>
              <w:left w:val="nil"/>
              <w:bottom w:val="nil"/>
              <w:right w:val="nil"/>
            </w:tcBorders>
            <w:tcMar>
              <w:top w:w="0" w:type="dxa"/>
              <w:left w:w="62" w:type="dxa"/>
              <w:bottom w:w="0" w:type="dxa"/>
              <w:right w:w="62" w:type="dxa"/>
            </w:tcMar>
          </w:tcPr>
          <w:p w:rsidR="00000000" w:rsidP="00E77D28">
            <w:pPr>
              <w:pStyle w:val="BodyText"/>
              <w:rPr>
                <w:lang w:val="en-NZ"/>
              </w:rPr>
            </w:pPr>
            <w:r w:rsidRPr="00E77D28">
              <w:t>Inspect samples, compare with specifications, record and report any discrepancies</w:t>
            </w:r>
          </w:p>
        </w:tc>
      </w:tr>
      <w:tr w:rsidTr="00E77D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7D28">
            <w:pPr>
              <w:pStyle w:val="BodyText"/>
              <w:rPr>
                <w:lang w:val="en-NZ"/>
              </w:rPr>
            </w:pPr>
            <w:r w:rsidRPr="00E77D28">
              <w:t>1.3</w:t>
            </w:r>
          </w:p>
        </w:tc>
        <w:tc>
          <w:tcPr>
            <w:tcW w:w="5610" w:type="dxa"/>
            <w:tcBorders>
              <w:top w:val="nil"/>
              <w:left w:val="nil"/>
              <w:bottom w:val="nil"/>
              <w:right w:val="nil"/>
            </w:tcBorders>
            <w:tcMar>
              <w:top w:w="0" w:type="dxa"/>
              <w:left w:w="62" w:type="dxa"/>
              <w:bottom w:w="0" w:type="dxa"/>
              <w:right w:w="62" w:type="dxa"/>
            </w:tcMar>
          </w:tcPr>
          <w:p w:rsidR="00000000" w:rsidP="00E77D28">
            <w:pPr>
              <w:pStyle w:val="BodyText"/>
              <w:rPr>
                <w:lang w:val="en-NZ"/>
              </w:rPr>
            </w:pPr>
            <w:r w:rsidRPr="00E77D28">
              <w:t xml:space="preserve">Liaise with client when samples and/or request forms do </w:t>
            </w:r>
            <w:r w:rsidRPr="00E77D28">
              <w:t>not comply with workplace procedures</w:t>
            </w:r>
          </w:p>
        </w:tc>
      </w:tr>
      <w:tr w:rsidTr="00E77D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7D28">
            <w:pPr>
              <w:pStyle w:val="BodyText"/>
              <w:rPr>
                <w:lang w:val="en-NZ"/>
              </w:rPr>
            </w:pPr>
            <w:r w:rsidRPr="00E77D28">
              <w:t>1.4</w:t>
            </w:r>
          </w:p>
        </w:tc>
        <w:tc>
          <w:tcPr>
            <w:tcW w:w="5610" w:type="dxa"/>
            <w:tcBorders>
              <w:top w:val="nil"/>
              <w:left w:val="nil"/>
              <w:bottom w:val="nil"/>
              <w:right w:val="nil"/>
            </w:tcBorders>
            <w:tcMar>
              <w:top w:w="0" w:type="dxa"/>
              <w:left w:w="62" w:type="dxa"/>
              <w:bottom w:w="0" w:type="dxa"/>
              <w:right w:w="62" w:type="dxa"/>
            </w:tcMar>
          </w:tcPr>
          <w:p w:rsidR="00000000" w:rsidP="00E77D28">
            <w:pPr>
              <w:pStyle w:val="BodyText"/>
              <w:rPr>
                <w:lang w:val="en-NZ"/>
              </w:rPr>
            </w:pPr>
            <w:r w:rsidRPr="00E77D28">
              <w:t>Identify hazards, safety equipment and safe work procedures specified for the sample, preparation methods, reagents and equipment</w:t>
            </w:r>
          </w:p>
        </w:tc>
      </w:tr>
      <w:tr w:rsidTr="00E77D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7D28">
            <w:pPr>
              <w:pStyle w:val="BodyText"/>
              <w:rPr>
                <w:lang w:val="en-NZ"/>
              </w:rPr>
            </w:pPr>
            <w:r w:rsidRPr="00E77D28">
              <w:t>1.5</w:t>
            </w:r>
          </w:p>
        </w:tc>
        <w:tc>
          <w:tcPr>
            <w:tcW w:w="5610" w:type="dxa"/>
            <w:tcBorders>
              <w:top w:val="nil"/>
              <w:left w:val="nil"/>
              <w:bottom w:val="nil"/>
              <w:right w:val="nil"/>
            </w:tcBorders>
            <w:tcMar>
              <w:top w:w="0" w:type="dxa"/>
              <w:left w:w="62" w:type="dxa"/>
              <w:bottom w:w="0" w:type="dxa"/>
              <w:right w:w="62" w:type="dxa"/>
            </w:tcMar>
          </w:tcPr>
          <w:p w:rsidR="00000000" w:rsidP="00E77D28">
            <w:pPr>
              <w:pStyle w:val="BodyText"/>
              <w:rPr>
                <w:lang w:val="en-NZ"/>
              </w:rPr>
            </w:pPr>
            <w:r w:rsidRPr="00E77D28">
              <w:t xml:space="preserve">Plan parallel work </w:t>
            </w:r>
            <w:r w:rsidRPr="00E77D28">
              <w:t>sequences to optimise throughput of multiple sets of samples</w:t>
            </w:r>
          </w:p>
        </w:tc>
      </w:tr>
      <w:tr w:rsidTr="00E77D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7D28">
            <w:pPr>
              <w:pStyle w:val="BodyText"/>
              <w:rPr>
                <w:lang w:val="en-NZ"/>
              </w:rPr>
            </w:pPr>
            <w:r w:rsidRPr="00E77D28">
              <w:t>1.6</w:t>
            </w:r>
          </w:p>
        </w:tc>
        <w:tc>
          <w:tcPr>
            <w:tcW w:w="5610" w:type="dxa"/>
            <w:tcBorders>
              <w:top w:val="nil"/>
              <w:left w:val="nil"/>
              <w:bottom w:val="nil"/>
              <w:right w:val="nil"/>
            </w:tcBorders>
            <w:tcMar>
              <w:top w:w="0" w:type="dxa"/>
              <w:left w:w="62" w:type="dxa"/>
              <w:bottom w:w="0" w:type="dxa"/>
              <w:right w:w="62" w:type="dxa"/>
            </w:tcMar>
          </w:tcPr>
          <w:p w:rsidR="00000000" w:rsidP="00E77D28">
            <w:pPr>
              <w:pStyle w:val="BodyText"/>
              <w:rPr>
                <w:lang w:val="en-NZ"/>
              </w:rPr>
            </w:pPr>
            <w:r w:rsidRPr="00E77D28">
              <w:t>Assemble all required equipment materials, reagents and check they are fit for purpose</w:t>
            </w:r>
          </w:p>
        </w:tc>
      </w:tr>
      <w:tr w:rsidTr="00E77D2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77D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77D28" w:rsidP="00E77D28">
            <w:pPr>
              <w:pStyle w:val="BodyText"/>
            </w:pPr>
            <w:r w:rsidRPr="00E77D28">
              <w:t>2</w:t>
            </w:r>
          </w:p>
        </w:tc>
        <w:tc>
          <w:tcPr>
            <w:tcW w:w="1962" w:type="dxa"/>
            <w:vMerge w:val="restart"/>
            <w:tcBorders>
              <w:top w:val="nil"/>
              <w:left w:val="nil"/>
              <w:bottom w:val="nil"/>
              <w:right w:val="nil"/>
            </w:tcBorders>
            <w:tcMar>
              <w:top w:w="0" w:type="dxa"/>
              <w:left w:w="62" w:type="dxa"/>
              <w:bottom w:w="0" w:type="dxa"/>
              <w:right w:w="62" w:type="dxa"/>
            </w:tcMar>
          </w:tcPr>
          <w:p w:rsidR="00000000" w:rsidP="00E77D28">
            <w:pPr>
              <w:pStyle w:val="BodyText"/>
              <w:rPr>
                <w:lang w:val="en-NZ"/>
              </w:rPr>
            </w:pPr>
            <w:r w:rsidRPr="00E77D28">
              <w:rPr>
                <w:rStyle w:val="SpecialBold"/>
              </w:rPr>
              <w:t>Prepare client samples for analysis</w:t>
            </w:r>
          </w:p>
        </w:tc>
        <w:tc>
          <w:tcPr>
            <w:tcW w:w="770" w:type="dxa"/>
            <w:tcBorders>
              <w:top w:val="nil"/>
              <w:left w:val="nil"/>
              <w:bottom w:val="nil"/>
              <w:right w:val="nil"/>
            </w:tcBorders>
            <w:tcMar>
              <w:top w:w="0" w:type="dxa"/>
              <w:left w:w="62" w:type="dxa"/>
              <w:bottom w:w="0" w:type="dxa"/>
              <w:right w:w="62" w:type="dxa"/>
            </w:tcMar>
          </w:tcPr>
          <w:p w:rsidR="00000000" w:rsidP="00E77D28">
            <w:pPr>
              <w:pStyle w:val="BodyText"/>
              <w:rPr>
                <w:lang w:val="en-NZ"/>
              </w:rPr>
            </w:pPr>
            <w:r w:rsidRPr="00E77D28">
              <w:t>2.1</w:t>
            </w:r>
          </w:p>
        </w:tc>
        <w:tc>
          <w:tcPr>
            <w:tcW w:w="5610" w:type="dxa"/>
            <w:tcBorders>
              <w:top w:val="nil"/>
              <w:left w:val="nil"/>
              <w:bottom w:val="nil"/>
              <w:right w:val="nil"/>
            </w:tcBorders>
            <w:tcMar>
              <w:top w:w="0" w:type="dxa"/>
              <w:left w:w="62" w:type="dxa"/>
              <w:bottom w:w="0" w:type="dxa"/>
              <w:right w:w="62" w:type="dxa"/>
            </w:tcMar>
          </w:tcPr>
          <w:p w:rsidR="00000000" w:rsidP="00E77D28">
            <w:pPr>
              <w:pStyle w:val="BodyText"/>
              <w:rPr>
                <w:lang w:val="en-NZ"/>
              </w:rPr>
            </w:pPr>
            <w:r w:rsidRPr="00E77D28">
              <w:t>Estimate safe times for the preparation of required sample portions</w:t>
            </w:r>
          </w:p>
        </w:tc>
      </w:tr>
      <w:tr w:rsidTr="00E77D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7D28">
            <w:pPr>
              <w:pStyle w:val="BodyText"/>
              <w:rPr>
                <w:lang w:val="en-NZ"/>
              </w:rPr>
            </w:pPr>
            <w:r w:rsidRPr="00E77D28">
              <w:t>2.2</w:t>
            </w:r>
          </w:p>
        </w:tc>
        <w:tc>
          <w:tcPr>
            <w:tcW w:w="5610" w:type="dxa"/>
            <w:tcBorders>
              <w:top w:val="nil"/>
              <w:left w:val="nil"/>
              <w:bottom w:val="nil"/>
              <w:right w:val="nil"/>
            </w:tcBorders>
            <w:tcMar>
              <w:top w:w="0" w:type="dxa"/>
              <w:left w:w="62" w:type="dxa"/>
              <w:bottom w:w="0" w:type="dxa"/>
              <w:right w:w="62" w:type="dxa"/>
            </w:tcMar>
          </w:tcPr>
          <w:p w:rsidR="00000000" w:rsidP="00E77D28">
            <w:pPr>
              <w:pStyle w:val="BodyText"/>
              <w:rPr>
                <w:lang w:val="en-NZ"/>
              </w:rPr>
            </w:pPr>
            <w:r w:rsidRPr="00E77D28">
              <w:t>Split samples to obtain representative sub-samples as required</w:t>
            </w:r>
          </w:p>
        </w:tc>
      </w:tr>
      <w:tr w:rsidTr="00E77D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7D28">
            <w:pPr>
              <w:pStyle w:val="BodyText"/>
              <w:rPr>
                <w:lang w:val="en-NZ"/>
              </w:rPr>
            </w:pPr>
            <w:r w:rsidRPr="00E77D28">
              <w:t>2.3</w:t>
            </w:r>
          </w:p>
        </w:tc>
        <w:tc>
          <w:tcPr>
            <w:tcW w:w="5610" w:type="dxa"/>
            <w:tcBorders>
              <w:top w:val="nil"/>
              <w:left w:val="nil"/>
              <w:bottom w:val="nil"/>
              <w:right w:val="nil"/>
            </w:tcBorders>
            <w:tcMar>
              <w:top w:w="0" w:type="dxa"/>
              <w:left w:w="62" w:type="dxa"/>
              <w:bottom w:w="0" w:type="dxa"/>
              <w:right w:w="62" w:type="dxa"/>
            </w:tcMar>
          </w:tcPr>
          <w:p w:rsidR="00000000" w:rsidP="00E77D28">
            <w:pPr>
              <w:pStyle w:val="BodyText"/>
              <w:rPr>
                <w:lang w:val="en-NZ"/>
              </w:rPr>
            </w:pPr>
            <w:r w:rsidRPr="00E77D28">
              <w:t xml:space="preserve">Safely operate comminution equipment </w:t>
            </w:r>
          </w:p>
        </w:tc>
      </w:tr>
      <w:tr w:rsidTr="00E77D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7D28">
            <w:pPr>
              <w:pStyle w:val="BodyText"/>
              <w:rPr>
                <w:lang w:val="en-NZ"/>
              </w:rPr>
            </w:pPr>
            <w:r w:rsidRPr="00E77D28">
              <w:t>2.4</w:t>
            </w:r>
          </w:p>
        </w:tc>
        <w:tc>
          <w:tcPr>
            <w:tcW w:w="5610" w:type="dxa"/>
            <w:tcBorders>
              <w:top w:val="nil"/>
              <w:left w:val="nil"/>
              <w:bottom w:val="nil"/>
              <w:right w:val="nil"/>
            </w:tcBorders>
            <w:tcMar>
              <w:top w:w="0" w:type="dxa"/>
              <w:left w:w="62" w:type="dxa"/>
              <w:bottom w:w="0" w:type="dxa"/>
              <w:right w:w="62" w:type="dxa"/>
            </w:tcMar>
          </w:tcPr>
          <w:p w:rsidR="00000000" w:rsidP="00E77D28">
            <w:pPr>
              <w:pStyle w:val="BodyText"/>
              <w:rPr>
                <w:lang w:val="en-NZ"/>
              </w:rPr>
            </w:pPr>
            <w:r w:rsidRPr="00E77D28">
              <w:t>Monitor texture of the samples as an indicator of particle size and adjust milling times accordingly</w:t>
            </w:r>
          </w:p>
        </w:tc>
      </w:tr>
      <w:tr w:rsidTr="00E77D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7D28">
            <w:pPr>
              <w:pStyle w:val="BodyText"/>
              <w:rPr>
                <w:lang w:val="en-NZ"/>
              </w:rPr>
            </w:pPr>
            <w:r w:rsidRPr="00E77D28">
              <w:t>2.5</w:t>
            </w:r>
          </w:p>
        </w:tc>
        <w:tc>
          <w:tcPr>
            <w:tcW w:w="5610" w:type="dxa"/>
            <w:tcBorders>
              <w:top w:val="nil"/>
              <w:left w:val="nil"/>
              <w:bottom w:val="nil"/>
              <w:right w:val="nil"/>
            </w:tcBorders>
            <w:tcMar>
              <w:top w:w="0" w:type="dxa"/>
              <w:left w:w="62" w:type="dxa"/>
              <w:bottom w:w="0" w:type="dxa"/>
              <w:right w:w="62" w:type="dxa"/>
            </w:tcMar>
          </w:tcPr>
          <w:p w:rsidR="00000000" w:rsidP="00E77D28">
            <w:pPr>
              <w:pStyle w:val="BodyText"/>
              <w:rPr>
                <w:lang w:val="en-NZ"/>
              </w:rPr>
            </w:pPr>
            <w:r w:rsidRPr="00E77D28">
              <w:t>Monitor sample compaction and build up of residues on equipment and rectify as necessary</w:t>
            </w:r>
          </w:p>
        </w:tc>
      </w:tr>
      <w:tr w:rsidTr="00E77D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7D28">
            <w:pPr>
              <w:pStyle w:val="BodyText"/>
              <w:rPr>
                <w:lang w:val="en-NZ"/>
              </w:rPr>
            </w:pPr>
            <w:r w:rsidRPr="00E77D28">
              <w:t>2.6</w:t>
            </w:r>
          </w:p>
        </w:tc>
        <w:tc>
          <w:tcPr>
            <w:tcW w:w="5610" w:type="dxa"/>
            <w:tcBorders>
              <w:top w:val="nil"/>
              <w:left w:val="nil"/>
              <w:bottom w:val="nil"/>
              <w:right w:val="nil"/>
            </w:tcBorders>
            <w:tcMar>
              <w:top w:w="0" w:type="dxa"/>
              <w:left w:w="62" w:type="dxa"/>
              <w:bottom w:w="0" w:type="dxa"/>
              <w:right w:w="62" w:type="dxa"/>
            </w:tcMar>
          </w:tcPr>
          <w:p w:rsidR="00000000" w:rsidP="00E77D28">
            <w:pPr>
              <w:pStyle w:val="BodyText"/>
              <w:rPr>
                <w:lang w:val="en-NZ"/>
              </w:rPr>
            </w:pPr>
            <w:r w:rsidRPr="00E77D28">
              <w:t>Record preparation difficulties that may impact on q</w:t>
            </w:r>
            <w:r w:rsidRPr="00E77D28">
              <w:t>uality or cause additional client costs</w:t>
            </w:r>
          </w:p>
        </w:tc>
      </w:tr>
      <w:tr w:rsidTr="00E77D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7D28">
            <w:pPr>
              <w:pStyle w:val="BodyText"/>
              <w:rPr>
                <w:lang w:val="en-NZ"/>
              </w:rPr>
            </w:pPr>
            <w:r w:rsidRPr="00E77D28">
              <w:t>2.7</w:t>
            </w:r>
          </w:p>
        </w:tc>
        <w:tc>
          <w:tcPr>
            <w:tcW w:w="5610" w:type="dxa"/>
            <w:tcBorders>
              <w:top w:val="nil"/>
              <w:left w:val="nil"/>
              <w:bottom w:val="nil"/>
              <w:right w:val="nil"/>
            </w:tcBorders>
            <w:tcMar>
              <w:top w:w="0" w:type="dxa"/>
              <w:left w:w="62" w:type="dxa"/>
              <w:bottom w:w="0" w:type="dxa"/>
              <w:right w:w="62" w:type="dxa"/>
            </w:tcMar>
          </w:tcPr>
          <w:p w:rsidR="00000000" w:rsidP="00E77D28">
            <w:pPr>
              <w:pStyle w:val="BodyText"/>
              <w:rPr>
                <w:lang w:val="en-NZ"/>
              </w:rPr>
            </w:pPr>
            <w:r w:rsidRPr="00E77D28">
              <w:t>Report any departure from preparation methods or client specifications</w:t>
            </w:r>
          </w:p>
        </w:tc>
      </w:tr>
      <w:tr w:rsidTr="00E77D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7D28">
            <w:pPr>
              <w:pStyle w:val="BodyText"/>
              <w:rPr>
                <w:lang w:val="en-NZ"/>
              </w:rPr>
            </w:pPr>
            <w:r w:rsidRPr="00E77D28">
              <w:t>2.8</w:t>
            </w:r>
          </w:p>
        </w:tc>
        <w:tc>
          <w:tcPr>
            <w:tcW w:w="5610" w:type="dxa"/>
            <w:tcBorders>
              <w:top w:val="nil"/>
              <w:left w:val="nil"/>
              <w:bottom w:val="nil"/>
              <w:right w:val="nil"/>
            </w:tcBorders>
            <w:tcMar>
              <w:top w:w="0" w:type="dxa"/>
              <w:left w:w="62" w:type="dxa"/>
              <w:bottom w:w="0" w:type="dxa"/>
              <w:right w:w="62" w:type="dxa"/>
            </w:tcMar>
          </w:tcPr>
          <w:p w:rsidR="00000000" w:rsidP="00E77D28">
            <w:pPr>
              <w:pStyle w:val="BodyText"/>
              <w:rPr>
                <w:lang w:val="en-NZ"/>
              </w:rPr>
            </w:pPr>
            <w:r w:rsidRPr="00E77D28">
              <w:t>Label client samples and record chain of custody information</w:t>
            </w:r>
          </w:p>
        </w:tc>
      </w:tr>
      <w:tr w:rsidTr="00E77D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7D28">
            <w:pPr>
              <w:pStyle w:val="BodyText"/>
              <w:rPr>
                <w:lang w:val="en-NZ"/>
              </w:rPr>
            </w:pPr>
            <w:r w:rsidRPr="00E77D28">
              <w:t>2.9</w:t>
            </w:r>
          </w:p>
        </w:tc>
        <w:tc>
          <w:tcPr>
            <w:tcW w:w="5610" w:type="dxa"/>
            <w:tcBorders>
              <w:top w:val="nil"/>
              <w:left w:val="nil"/>
              <w:bottom w:val="nil"/>
              <w:right w:val="nil"/>
            </w:tcBorders>
            <w:tcMar>
              <w:top w:w="0" w:type="dxa"/>
              <w:left w:w="62" w:type="dxa"/>
              <w:bottom w:w="0" w:type="dxa"/>
              <w:right w:w="62" w:type="dxa"/>
            </w:tcMar>
          </w:tcPr>
          <w:p w:rsidR="00000000" w:rsidP="00E77D28">
            <w:pPr>
              <w:pStyle w:val="BodyText"/>
              <w:rPr>
                <w:lang w:val="en-NZ"/>
              </w:rPr>
            </w:pPr>
            <w:r w:rsidRPr="00E77D28">
              <w:t>Store all client samples in accordance with workp</w:t>
            </w:r>
            <w:r w:rsidRPr="00E77D28">
              <w:t xml:space="preserve">lace procedures </w:t>
            </w:r>
          </w:p>
        </w:tc>
      </w:tr>
      <w:tr w:rsidTr="00E77D2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77D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77D28" w:rsidP="00E77D28">
            <w:pPr>
              <w:pStyle w:val="BodyText"/>
            </w:pPr>
            <w:r w:rsidRPr="00E77D28">
              <w:t>3</w:t>
            </w:r>
          </w:p>
        </w:tc>
        <w:tc>
          <w:tcPr>
            <w:tcW w:w="1962" w:type="dxa"/>
            <w:vMerge w:val="restart"/>
            <w:tcBorders>
              <w:top w:val="nil"/>
              <w:left w:val="nil"/>
              <w:bottom w:val="nil"/>
              <w:right w:val="nil"/>
            </w:tcBorders>
            <w:tcMar>
              <w:top w:w="0" w:type="dxa"/>
              <w:left w:w="62" w:type="dxa"/>
              <w:bottom w:w="0" w:type="dxa"/>
              <w:right w:w="62" w:type="dxa"/>
            </w:tcMar>
          </w:tcPr>
          <w:p w:rsidR="00000000" w:rsidP="00E77D28">
            <w:pPr>
              <w:pStyle w:val="BodyText"/>
              <w:rPr>
                <w:lang w:val="en-NZ"/>
              </w:rPr>
            </w:pPr>
            <w:r w:rsidRPr="00E77D28">
              <w:rPr>
                <w:rStyle w:val="SpecialBold"/>
              </w:rPr>
              <w:t xml:space="preserve">Use non-destructive methods to prepare laboratory portions for </w:t>
            </w:r>
            <w:r w:rsidRPr="00E77D28">
              <w:rPr>
                <w:rStyle w:val="SpecialBold"/>
              </w:rPr>
              <w:t>analysis</w:t>
            </w:r>
          </w:p>
        </w:tc>
        <w:tc>
          <w:tcPr>
            <w:tcW w:w="770" w:type="dxa"/>
            <w:tcBorders>
              <w:top w:val="nil"/>
              <w:left w:val="nil"/>
              <w:bottom w:val="nil"/>
              <w:right w:val="nil"/>
            </w:tcBorders>
            <w:tcMar>
              <w:top w:w="0" w:type="dxa"/>
              <w:left w:w="62" w:type="dxa"/>
              <w:bottom w:w="0" w:type="dxa"/>
              <w:right w:w="62" w:type="dxa"/>
            </w:tcMar>
          </w:tcPr>
          <w:p w:rsidR="00000000" w:rsidP="00E77D28">
            <w:pPr>
              <w:pStyle w:val="BodyText"/>
              <w:rPr>
                <w:lang w:val="en-NZ"/>
              </w:rPr>
            </w:pPr>
            <w:r w:rsidRPr="00E77D28">
              <w:t>3.1</w:t>
            </w:r>
          </w:p>
        </w:tc>
        <w:tc>
          <w:tcPr>
            <w:tcW w:w="5610" w:type="dxa"/>
            <w:tcBorders>
              <w:top w:val="nil"/>
              <w:left w:val="nil"/>
              <w:bottom w:val="nil"/>
              <w:right w:val="nil"/>
            </w:tcBorders>
            <w:tcMar>
              <w:top w:w="0" w:type="dxa"/>
              <w:left w:w="62" w:type="dxa"/>
              <w:bottom w:w="0" w:type="dxa"/>
              <w:right w:w="62" w:type="dxa"/>
            </w:tcMar>
          </w:tcPr>
          <w:p w:rsidR="00000000" w:rsidP="00E77D28">
            <w:pPr>
              <w:pStyle w:val="BodyText"/>
              <w:rPr>
                <w:lang w:val="en-NZ"/>
              </w:rPr>
            </w:pPr>
            <w:r w:rsidRPr="00E77D28">
              <w:t>Examine the recommended preparation method to identify critical steps that will affect the quality of analytical results</w:t>
            </w:r>
          </w:p>
        </w:tc>
      </w:tr>
      <w:tr w:rsidTr="00E77D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7D28">
            <w:pPr>
              <w:pStyle w:val="BodyText"/>
              <w:rPr>
                <w:lang w:val="en-NZ"/>
              </w:rPr>
            </w:pPr>
            <w:r w:rsidRPr="00E77D28">
              <w:t>3.2</w:t>
            </w:r>
          </w:p>
        </w:tc>
        <w:tc>
          <w:tcPr>
            <w:tcW w:w="5610" w:type="dxa"/>
            <w:tcBorders>
              <w:top w:val="nil"/>
              <w:left w:val="nil"/>
              <w:bottom w:val="nil"/>
              <w:right w:val="nil"/>
            </w:tcBorders>
            <w:tcMar>
              <w:top w:w="0" w:type="dxa"/>
              <w:left w:w="62" w:type="dxa"/>
              <w:bottom w:w="0" w:type="dxa"/>
              <w:right w:w="62" w:type="dxa"/>
            </w:tcMar>
          </w:tcPr>
          <w:p w:rsidR="00000000" w:rsidP="00E77D28">
            <w:pPr>
              <w:pStyle w:val="BodyText"/>
              <w:rPr>
                <w:lang w:val="en-NZ"/>
              </w:rPr>
            </w:pPr>
            <w:r w:rsidRPr="00E77D28">
              <w:t>Closely follow each preparation step with particular attention to safety, precision and minimisation of cross-contamination of samples</w:t>
            </w:r>
          </w:p>
        </w:tc>
      </w:tr>
      <w:tr w:rsidTr="00E77D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7D28">
            <w:pPr>
              <w:pStyle w:val="BodyText"/>
              <w:rPr>
                <w:lang w:val="en-NZ"/>
              </w:rPr>
            </w:pPr>
            <w:r w:rsidRPr="00E77D28">
              <w:t>3.3</w:t>
            </w:r>
          </w:p>
        </w:tc>
        <w:tc>
          <w:tcPr>
            <w:tcW w:w="5610" w:type="dxa"/>
            <w:tcBorders>
              <w:top w:val="nil"/>
              <w:left w:val="nil"/>
              <w:bottom w:val="nil"/>
              <w:right w:val="nil"/>
            </w:tcBorders>
            <w:tcMar>
              <w:top w:w="0" w:type="dxa"/>
              <w:left w:w="62" w:type="dxa"/>
              <w:bottom w:w="0" w:type="dxa"/>
              <w:right w:w="62" w:type="dxa"/>
            </w:tcMar>
          </w:tcPr>
          <w:p w:rsidR="00000000" w:rsidP="00E77D28">
            <w:pPr>
              <w:pStyle w:val="BodyText"/>
              <w:rPr>
                <w:lang w:val="en-NZ"/>
              </w:rPr>
            </w:pPr>
            <w:r w:rsidRPr="00E77D28">
              <w:t>Monitor parameters that indicate completion or failure of each preparation step</w:t>
            </w:r>
          </w:p>
        </w:tc>
      </w:tr>
      <w:tr w:rsidTr="00E77D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7D28">
            <w:pPr>
              <w:pStyle w:val="BodyText"/>
              <w:rPr>
                <w:lang w:val="en-NZ"/>
              </w:rPr>
            </w:pPr>
            <w:r w:rsidRPr="00E77D28">
              <w:t>3.4</w:t>
            </w:r>
          </w:p>
        </w:tc>
        <w:tc>
          <w:tcPr>
            <w:tcW w:w="5610" w:type="dxa"/>
            <w:tcBorders>
              <w:top w:val="nil"/>
              <w:left w:val="nil"/>
              <w:bottom w:val="nil"/>
              <w:right w:val="nil"/>
            </w:tcBorders>
            <w:tcMar>
              <w:top w:w="0" w:type="dxa"/>
              <w:left w:w="62" w:type="dxa"/>
              <w:bottom w:w="0" w:type="dxa"/>
              <w:right w:w="62" w:type="dxa"/>
            </w:tcMar>
          </w:tcPr>
          <w:p w:rsidR="00000000" w:rsidP="00E77D28">
            <w:pPr>
              <w:pStyle w:val="BodyText"/>
              <w:rPr>
                <w:lang w:val="en-NZ"/>
              </w:rPr>
            </w:pPr>
            <w:r w:rsidRPr="00E77D28">
              <w:t>Analyse and record invalid preparation steps and take corrective action before repeating the procedure</w:t>
            </w:r>
          </w:p>
        </w:tc>
      </w:tr>
      <w:tr w:rsidTr="00E77D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7D28">
            <w:pPr>
              <w:pStyle w:val="BodyText"/>
              <w:rPr>
                <w:lang w:val="en-NZ"/>
              </w:rPr>
            </w:pPr>
            <w:r w:rsidRPr="00E77D28">
              <w:t>3.5</w:t>
            </w:r>
          </w:p>
        </w:tc>
        <w:tc>
          <w:tcPr>
            <w:tcW w:w="5610" w:type="dxa"/>
            <w:tcBorders>
              <w:top w:val="nil"/>
              <w:left w:val="nil"/>
              <w:bottom w:val="nil"/>
              <w:right w:val="nil"/>
            </w:tcBorders>
            <w:tcMar>
              <w:top w:w="0" w:type="dxa"/>
              <w:left w:w="62" w:type="dxa"/>
              <w:bottom w:w="0" w:type="dxa"/>
              <w:right w:w="62" w:type="dxa"/>
            </w:tcMar>
          </w:tcPr>
          <w:p w:rsidR="00000000" w:rsidP="00E77D28">
            <w:pPr>
              <w:pStyle w:val="BodyText"/>
              <w:rPr>
                <w:lang w:val="en-NZ"/>
              </w:rPr>
            </w:pPr>
            <w:r w:rsidRPr="00E77D28">
              <w:t>Present laboratory portions for analysis in appropriate containers with all required chain of custody documentation</w:t>
            </w:r>
          </w:p>
        </w:tc>
      </w:tr>
      <w:tr w:rsidTr="00E77D2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77D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77D28" w:rsidP="00E77D28">
            <w:pPr>
              <w:pStyle w:val="BodyText"/>
            </w:pPr>
            <w:r w:rsidRPr="00E77D28">
              <w:t>4</w:t>
            </w:r>
          </w:p>
        </w:tc>
        <w:tc>
          <w:tcPr>
            <w:tcW w:w="1962" w:type="dxa"/>
            <w:vMerge w:val="restart"/>
            <w:tcBorders>
              <w:top w:val="nil"/>
              <w:left w:val="nil"/>
              <w:bottom w:val="nil"/>
              <w:right w:val="nil"/>
            </w:tcBorders>
            <w:tcMar>
              <w:top w:w="0" w:type="dxa"/>
              <w:left w:w="62" w:type="dxa"/>
              <w:bottom w:w="0" w:type="dxa"/>
              <w:right w:w="62" w:type="dxa"/>
            </w:tcMar>
          </w:tcPr>
          <w:p w:rsidR="00000000" w:rsidP="00E77D28">
            <w:pPr>
              <w:pStyle w:val="BodyText"/>
              <w:rPr>
                <w:lang w:val="en-NZ"/>
              </w:rPr>
            </w:pPr>
            <w:r w:rsidRPr="00E77D28">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E77D28">
            <w:pPr>
              <w:pStyle w:val="BodyText"/>
              <w:rPr>
                <w:lang w:val="en-NZ"/>
              </w:rPr>
            </w:pPr>
            <w:r w:rsidRPr="00E77D28">
              <w:t>4.1</w:t>
            </w:r>
          </w:p>
        </w:tc>
        <w:tc>
          <w:tcPr>
            <w:tcW w:w="5610" w:type="dxa"/>
            <w:tcBorders>
              <w:top w:val="nil"/>
              <w:left w:val="nil"/>
              <w:bottom w:val="nil"/>
              <w:right w:val="nil"/>
            </w:tcBorders>
            <w:tcMar>
              <w:top w:w="0" w:type="dxa"/>
              <w:left w:w="62" w:type="dxa"/>
              <w:bottom w:w="0" w:type="dxa"/>
              <w:right w:w="62" w:type="dxa"/>
            </w:tcMar>
          </w:tcPr>
          <w:p w:rsidR="00000000" w:rsidP="00E77D28">
            <w:pPr>
              <w:pStyle w:val="BodyText"/>
              <w:rPr>
                <w:lang w:val="en-NZ"/>
              </w:rPr>
            </w:pPr>
            <w:r w:rsidRPr="00E77D28">
              <w:t>Apply established safe work practices and use personal protective equipment (PPE) to ensure personal safety and that of other laboratory personnel</w:t>
            </w:r>
          </w:p>
        </w:tc>
      </w:tr>
      <w:tr w:rsidTr="00E77D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7D28">
            <w:pPr>
              <w:pStyle w:val="BodyText"/>
              <w:rPr>
                <w:lang w:val="en-NZ"/>
              </w:rPr>
            </w:pPr>
            <w:r w:rsidRPr="00E77D28">
              <w:t>4.2</w:t>
            </w:r>
          </w:p>
        </w:tc>
        <w:tc>
          <w:tcPr>
            <w:tcW w:w="5610" w:type="dxa"/>
            <w:tcBorders>
              <w:top w:val="nil"/>
              <w:left w:val="nil"/>
              <w:bottom w:val="nil"/>
              <w:right w:val="nil"/>
            </w:tcBorders>
            <w:tcMar>
              <w:top w:w="0" w:type="dxa"/>
              <w:left w:w="62" w:type="dxa"/>
              <w:bottom w:w="0" w:type="dxa"/>
              <w:right w:w="62" w:type="dxa"/>
            </w:tcMar>
          </w:tcPr>
          <w:p w:rsidR="00000000" w:rsidP="00E77D28">
            <w:pPr>
              <w:pStyle w:val="BodyText"/>
              <w:rPr>
                <w:lang w:val="en-NZ"/>
              </w:rPr>
            </w:pPr>
            <w:r w:rsidRPr="00E77D28">
              <w:t>Minimise the generation of waste and environmental impacts</w:t>
            </w:r>
          </w:p>
        </w:tc>
      </w:tr>
      <w:tr w:rsidTr="00E77D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7D28">
            <w:pPr>
              <w:pStyle w:val="BodyText"/>
              <w:rPr>
                <w:lang w:val="en-NZ"/>
              </w:rPr>
            </w:pPr>
            <w:r w:rsidRPr="00E77D28">
              <w:t>4.3</w:t>
            </w:r>
          </w:p>
        </w:tc>
        <w:tc>
          <w:tcPr>
            <w:tcW w:w="5610" w:type="dxa"/>
            <w:tcBorders>
              <w:top w:val="nil"/>
              <w:left w:val="nil"/>
              <w:bottom w:val="nil"/>
              <w:right w:val="nil"/>
            </w:tcBorders>
            <w:tcMar>
              <w:top w:w="0" w:type="dxa"/>
              <w:left w:w="62" w:type="dxa"/>
              <w:bottom w:w="0" w:type="dxa"/>
              <w:right w:w="62" w:type="dxa"/>
            </w:tcMar>
          </w:tcPr>
          <w:p w:rsidR="00000000" w:rsidP="00E77D28">
            <w:pPr>
              <w:pStyle w:val="BodyText"/>
              <w:rPr>
                <w:lang w:val="en-NZ"/>
              </w:rPr>
            </w:pPr>
            <w:r w:rsidRPr="00E77D28">
              <w:t>Ensure the safe disposal of all hazardous waste and spent/surplus samples</w:t>
            </w:r>
          </w:p>
        </w:tc>
      </w:tr>
      <w:tr w:rsidTr="00E77D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7D28">
            <w:pPr>
              <w:pStyle w:val="BodyText"/>
              <w:rPr>
                <w:lang w:val="en-NZ"/>
              </w:rPr>
            </w:pPr>
            <w:r w:rsidRPr="00E77D28">
              <w:t>4.4</w:t>
            </w:r>
          </w:p>
        </w:tc>
        <w:tc>
          <w:tcPr>
            <w:tcW w:w="5610" w:type="dxa"/>
            <w:tcBorders>
              <w:top w:val="nil"/>
              <w:left w:val="nil"/>
              <w:bottom w:val="nil"/>
              <w:right w:val="nil"/>
            </w:tcBorders>
            <w:tcMar>
              <w:top w:w="0" w:type="dxa"/>
              <w:left w:w="62" w:type="dxa"/>
              <w:bottom w:w="0" w:type="dxa"/>
              <w:right w:w="62" w:type="dxa"/>
            </w:tcMar>
          </w:tcPr>
          <w:p w:rsidR="00000000" w:rsidRPr="00E77D28" w:rsidP="00E77D28">
            <w:pPr>
              <w:pStyle w:val="BodyText"/>
            </w:pPr>
            <w:r w:rsidRPr="00E77D28">
              <w:t>Clean, care for and store equipment and reagents as required</w:t>
            </w:r>
          </w:p>
        </w:tc>
      </w:tr>
    </w:tbl>
    <w:p w:rsidR="00000000" w:rsidRPr="00E77D28" w:rsidP="00E77D28">
      <w:pPr>
        <w:pStyle w:val="BodyText"/>
      </w:pPr>
    </w:p>
    <w:p w:rsidR="00000000" w:rsidRPr="00E77D28" w:rsidP="00E77D28">
      <w:pPr>
        <w:pStyle w:val="AllowPageBreak"/>
      </w:pPr>
    </w:p>
    <w:p w:rsidR="00000000" w:rsidRPr="00E77D28" w:rsidP="00E77D28">
      <w:pPr>
        <w:pStyle w:val="Heading1"/>
      </w:pPr>
      <w:bookmarkStart w:id="7" w:name="O_902962"/>
      <w:bookmarkEnd w:id="7"/>
      <w:r w:rsidRPr="00E77D28">
        <w:t>Foundation Skills</w:t>
      </w:r>
    </w:p>
    <w:p w:rsidR="00000000" w:rsidRPr="00E77D28" w:rsidP="00E77D28">
      <w:pPr>
        <w:pStyle w:val="BodyText"/>
      </w:pPr>
      <w:r w:rsidRPr="00E77D28">
        <w:t>This section describes those language, literacy, numeracy and employment ski</w:t>
      </w:r>
      <w:r w:rsidRPr="00E77D28">
        <w:t>lls that are essential to performance.</w:t>
      </w:r>
    </w:p>
    <w:p w:rsidR="00000000" w:rsidRPr="00E77D28" w:rsidP="00E77D28">
      <w:pPr>
        <w:pStyle w:val="BodyText"/>
      </w:pPr>
    </w:p>
    <w:p w:rsidR="00000000" w:rsidRPr="00E77D28" w:rsidP="00E77D28">
      <w:pPr>
        <w:pStyle w:val="BodyText"/>
      </w:pPr>
      <w:r w:rsidRPr="00E77D28">
        <w:t>Foundation skills essential to performance are explicit in the performance criteria of this unit of competency.</w:t>
      </w:r>
    </w:p>
    <w:p w:rsidR="00000000" w:rsidRPr="00E77D28" w:rsidP="00E77D28">
      <w:pPr>
        <w:pStyle w:val="AllowPageBreak"/>
      </w:pPr>
    </w:p>
    <w:p w:rsidR="00000000" w:rsidRPr="00E77D28" w:rsidP="00E77D28">
      <w:pPr>
        <w:pStyle w:val="Heading1"/>
      </w:pPr>
      <w:bookmarkStart w:id="8" w:name="O_902961"/>
      <w:bookmarkEnd w:id="8"/>
      <w:r w:rsidRPr="00E77D28">
        <w:t>Range of Conditions</w:t>
      </w:r>
    </w:p>
    <w:tbl>
      <w:tblPr>
        <w:tblW w:w="0" w:type="auto"/>
        <w:tblCellMar>
          <w:left w:w="62" w:type="dxa"/>
          <w:right w:w="62" w:type="dxa"/>
        </w:tblCellMar>
        <w:tblLook w:val="0000"/>
      </w:tblPr>
      <w:tblGrid>
        <w:gridCol w:w="2319"/>
        <w:gridCol w:w="6877"/>
      </w:tblGrid>
      <w:tr w:rsidTr="006E775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77D28">
            <w:pPr>
              <w:pStyle w:val="BodyText"/>
              <w:rPr>
                <w:lang w:val="en-NZ"/>
              </w:rPr>
            </w:pPr>
            <w:r w:rsidRPr="00E77D28">
              <w:t>This field allows for different work environments and conditions th</w:t>
            </w:r>
            <w:r w:rsidRPr="00E77D28">
              <w:t>at may affect performance. Essential operating conditions that may be present (depending on the work situation, needs of the candidate, accessibility of the item, and local industry and regional contexts) are included.</w:t>
            </w:r>
          </w:p>
        </w:tc>
      </w:tr>
      <w:tr w:rsidTr="006E775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7D28">
            <w:pPr>
              <w:pStyle w:val="BodyText"/>
              <w:rPr>
                <w:lang w:val="en-NZ"/>
              </w:rPr>
            </w:pPr>
            <w:r w:rsidRPr="00E77D28">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E77D28" w:rsidP="00E77D28">
            <w:pPr>
              <w:pStyle w:val="BodyText"/>
            </w:pPr>
            <w:r w:rsidRPr="00E77D28">
              <w:t>Standards, codes, procedures and/or workplace requirements include the latest version of one or more of:</w:t>
            </w:r>
          </w:p>
          <w:p w:rsidR="00000000" w:rsidRPr="00E77D28" w:rsidP="00E77D28">
            <w:pPr>
              <w:pStyle w:val="ListBullet"/>
            </w:pPr>
            <w:r w:rsidRPr="00E77D28">
              <w:t>Australian and international standards covering the requirements for the competence of tes</w:t>
            </w:r>
            <w:r w:rsidRPr="00E77D28">
              <w:t>ting and calibration laboratories; laboratory safety; quality and environmental management; sampling of specific ores and particulate materials; and labelling, storage, handling and transport of hazardous materials</w:t>
            </w:r>
          </w:p>
          <w:p w:rsidR="00000000" w:rsidRPr="00E77D28" w:rsidP="00E77D28">
            <w:pPr>
              <w:pStyle w:val="ListBullet"/>
            </w:pPr>
            <w:r w:rsidRPr="00E77D28">
              <w:t>national work health and safety (WHS) sta</w:t>
            </w:r>
            <w:r w:rsidRPr="00E77D28">
              <w:t>ndards and codes of practice, national environmental protection measures, and national measurement regulations and guidelines</w:t>
            </w:r>
          </w:p>
          <w:p w:rsidR="00000000" w:rsidRPr="00E77D28" w:rsidP="00E77D28">
            <w:pPr>
              <w:pStyle w:val="ListBullet"/>
            </w:pPr>
            <w:r w:rsidRPr="00E77D28">
              <w:t>specific codes, guidelines and procedures, such as National Association of Testing Authorities (NATA) accreditation requirements a</w:t>
            </w:r>
            <w:r w:rsidRPr="00E77D28">
              <w:t>nd principles of good laboratory practice (GLP)</w:t>
            </w:r>
          </w:p>
          <w:p w:rsidR="00000000" w:rsidRPr="00E77D28" w:rsidP="00E77D28">
            <w:pPr>
              <w:pStyle w:val="ListBullet"/>
            </w:pPr>
            <w:r w:rsidRPr="00E77D28">
              <w:t>workplace documents, such as standard operating procedures (SOPs); quality and equipment manuals; maintenance schedules; material safety data sheets (MSDS); safety procedures; material, production and product</w:t>
            </w:r>
            <w:r w:rsidRPr="00E77D28">
              <w:t xml:space="preserve"> specifications; production and laboratory schedules; workplace recording and reporting procedures; and waste minimisation and safe disposal procedures</w:t>
            </w:r>
          </w:p>
          <w:p w:rsidR="00000000" w:rsidRPr="00E77D28" w:rsidP="00E77D28">
            <w:pPr>
              <w:pStyle w:val="ListBullet"/>
            </w:pPr>
            <w:r w:rsidRPr="00E77D28">
              <w:t xml:space="preserve">sampling procedures for specific samples, sites and clients (labelling, preparation, storage, transport </w:t>
            </w:r>
            <w:r w:rsidRPr="00E77D28">
              <w:t>and disposal), and published preparation methods</w:t>
            </w:r>
          </w:p>
          <w:p w:rsidR="00000000" w:rsidP="00E77D28">
            <w:pPr>
              <w:pStyle w:val="BodyText"/>
              <w:rPr>
                <w:lang w:val="en-NZ"/>
              </w:rPr>
            </w:pPr>
          </w:p>
        </w:tc>
      </w:tr>
      <w:tr w:rsidTr="006E775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7D28">
            <w:pPr>
              <w:pStyle w:val="BodyText"/>
              <w:rPr>
                <w:lang w:val="en-NZ"/>
              </w:rPr>
            </w:pPr>
            <w:r w:rsidRPr="00E77D28">
              <w:rPr>
                <w:rStyle w:val="SpecialBold"/>
              </w:rPr>
              <w:t>Materials sampled</w:t>
            </w:r>
          </w:p>
        </w:tc>
        <w:tc>
          <w:tcPr>
            <w:tcW w:w="0" w:type="auto"/>
            <w:tcBorders>
              <w:top w:val="nil"/>
              <w:left w:val="nil"/>
              <w:bottom w:val="nil"/>
              <w:right w:val="nil"/>
            </w:tcBorders>
            <w:tcMar>
              <w:top w:w="0" w:type="dxa"/>
              <w:left w:w="62" w:type="dxa"/>
              <w:bottom w:w="0" w:type="dxa"/>
              <w:right w:w="62" w:type="dxa"/>
            </w:tcMar>
          </w:tcPr>
          <w:p w:rsidR="00000000" w:rsidRPr="00E77D28" w:rsidP="00E77D28">
            <w:pPr>
              <w:pStyle w:val="BodyText"/>
            </w:pPr>
            <w:r w:rsidRPr="00E77D28">
              <w:t>Materials sampled include, but are not limited to, one or more of:</w:t>
            </w:r>
          </w:p>
          <w:p w:rsidR="00000000" w:rsidRPr="00E77D28" w:rsidP="00E77D28">
            <w:pPr>
              <w:pStyle w:val="ListBullet"/>
            </w:pPr>
            <w:r w:rsidRPr="00E77D28">
              <w:t>solids, such as rocks, minerals, soils, sands and stream sediments</w:t>
            </w:r>
          </w:p>
          <w:p w:rsidR="00000000" w:rsidRPr="00E77D28" w:rsidP="00E77D28">
            <w:pPr>
              <w:pStyle w:val="ListBullet"/>
            </w:pPr>
            <w:r w:rsidRPr="00E77D28">
              <w:t>pulverised core and other drill samples, such as rotary air blast (RAB), reverse circulation (RC) and aircore samples</w:t>
            </w:r>
          </w:p>
          <w:p w:rsidR="00000000" w:rsidRPr="00E77D28" w:rsidP="00E77D28">
            <w:pPr>
              <w:pStyle w:val="ListBullet"/>
            </w:pPr>
            <w:r w:rsidRPr="00E77D28">
              <w:t>powder concentrates</w:t>
            </w:r>
          </w:p>
          <w:p w:rsidR="00000000" w:rsidRPr="00E77D28" w:rsidP="00E77D28">
            <w:pPr>
              <w:pStyle w:val="ListBullet"/>
            </w:pPr>
            <w:r w:rsidRPr="00E77D28">
              <w:t>dump samples and grab samples</w:t>
            </w:r>
          </w:p>
          <w:p w:rsidR="00000000" w:rsidP="00E77D28">
            <w:pPr>
              <w:pStyle w:val="BodyText"/>
              <w:rPr>
                <w:lang w:val="en-NZ"/>
              </w:rPr>
            </w:pPr>
          </w:p>
        </w:tc>
      </w:tr>
      <w:tr w:rsidTr="006E775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7D28">
            <w:pPr>
              <w:pStyle w:val="BodyText"/>
              <w:rPr>
                <w:lang w:val="en-NZ"/>
              </w:rPr>
            </w:pPr>
            <w:r w:rsidRPr="00E77D28">
              <w:rPr>
                <w:rStyle w:val="SpecialBold"/>
              </w:rPr>
              <w:t>Sample preparation methods</w:t>
            </w:r>
          </w:p>
        </w:tc>
        <w:tc>
          <w:tcPr>
            <w:tcW w:w="0" w:type="auto"/>
            <w:tcBorders>
              <w:top w:val="nil"/>
              <w:left w:val="nil"/>
              <w:bottom w:val="nil"/>
              <w:right w:val="nil"/>
            </w:tcBorders>
            <w:tcMar>
              <w:top w:w="0" w:type="dxa"/>
              <w:left w:w="62" w:type="dxa"/>
              <w:bottom w:w="0" w:type="dxa"/>
              <w:right w:w="62" w:type="dxa"/>
            </w:tcMar>
          </w:tcPr>
          <w:p w:rsidR="00000000" w:rsidRPr="00E77D28" w:rsidP="00E77D28">
            <w:pPr>
              <w:pStyle w:val="BodyText"/>
            </w:pPr>
            <w:r w:rsidRPr="00E77D28">
              <w:t>Sample preparation methods include one or more of:</w:t>
            </w:r>
          </w:p>
          <w:p w:rsidR="00000000" w:rsidRPr="00E77D28" w:rsidP="00E77D28">
            <w:pPr>
              <w:pStyle w:val="ListBullet"/>
            </w:pPr>
            <w:r w:rsidRPr="00E77D28">
              <w:t>sorting</w:t>
            </w:r>
            <w:r w:rsidRPr="00E77D28">
              <w:t xml:space="preserve">, boxing and drying </w:t>
            </w:r>
          </w:p>
          <w:p w:rsidR="00000000" w:rsidRPr="00E77D28" w:rsidP="00E77D28">
            <w:pPr>
              <w:pStyle w:val="ListBullet"/>
            </w:pPr>
            <w:r w:rsidRPr="00E77D28">
              <w:t>sieving</w:t>
            </w:r>
          </w:p>
          <w:p w:rsidR="00000000" w:rsidRPr="00E77D28" w:rsidP="00E77D28">
            <w:pPr>
              <w:pStyle w:val="ListBullet"/>
            </w:pPr>
            <w:r w:rsidRPr="00E77D28">
              <w:t>primary crushing (e.g. 10 mm, 2 mm)</w:t>
            </w:r>
          </w:p>
          <w:p w:rsidR="00000000" w:rsidRPr="00E77D28" w:rsidP="00E77D28">
            <w:pPr>
              <w:pStyle w:val="ListBullet"/>
            </w:pPr>
            <w:r w:rsidRPr="00E77D28">
              <w:t>fine pulverising (e.g. 100 micron, 75 micron)</w:t>
            </w:r>
          </w:p>
          <w:p w:rsidR="00000000" w:rsidRPr="00E77D28" w:rsidP="00E77D28">
            <w:pPr>
              <w:pStyle w:val="ListBullet"/>
            </w:pPr>
            <w:r w:rsidRPr="00E77D28">
              <w:t>partial digestion requiring separation (e.g. aqua regia)</w:t>
            </w:r>
          </w:p>
          <w:p w:rsidR="00000000" w:rsidRPr="00E77D28" w:rsidP="00E77D28">
            <w:pPr>
              <w:pStyle w:val="ListBullet"/>
            </w:pPr>
            <w:r w:rsidRPr="00E77D28">
              <w:t>complete digestion (e.g. multi-acid digest)</w:t>
            </w:r>
          </w:p>
          <w:p w:rsidR="00000000" w:rsidRPr="00E77D28" w:rsidP="00E77D28">
            <w:pPr>
              <w:pStyle w:val="ListBullet"/>
            </w:pPr>
            <w:r w:rsidRPr="00E77D28">
              <w:t>non-destructive (e.g. LIF, Li2B4O7 disks)</w:t>
            </w:r>
          </w:p>
          <w:p w:rsidR="00000000" w:rsidRPr="00E77D28" w:rsidP="00E77D28">
            <w:pPr>
              <w:pStyle w:val="ListBullet"/>
            </w:pPr>
            <w:r w:rsidRPr="00E77D28">
              <w:t>solvent extraction (e.g. di isobutyl ketone dibK)</w:t>
            </w:r>
          </w:p>
          <w:p w:rsidR="00000000" w:rsidP="00E77D28">
            <w:pPr>
              <w:pStyle w:val="BodyText"/>
              <w:rPr>
                <w:lang w:val="en-NZ"/>
              </w:rPr>
            </w:pPr>
          </w:p>
        </w:tc>
      </w:tr>
      <w:tr w:rsidTr="006E775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7D28">
            <w:pPr>
              <w:pStyle w:val="BodyText"/>
              <w:rPr>
                <w:lang w:val="en-NZ"/>
              </w:rPr>
            </w:pPr>
            <w:r w:rsidRPr="00E77D28">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E77D28" w:rsidP="00E77D28">
            <w:pPr>
              <w:pStyle w:val="BodyText"/>
            </w:pPr>
            <w:r w:rsidRPr="00E77D28">
              <w:t>Hazards include, but are not limited to, one or more of:</w:t>
            </w:r>
          </w:p>
          <w:p w:rsidR="00000000" w:rsidRPr="00E77D28" w:rsidP="00E77D28">
            <w:pPr>
              <w:pStyle w:val="ListBullet"/>
            </w:pPr>
            <w:r w:rsidRPr="00E77D28">
              <w:t>dust, silica and fibrous materials</w:t>
            </w:r>
          </w:p>
          <w:p w:rsidR="00000000" w:rsidRPr="00E77D28" w:rsidP="00E77D28">
            <w:pPr>
              <w:pStyle w:val="ListBullet"/>
            </w:pPr>
            <w:r w:rsidRPr="00E77D28">
              <w:t>asbestiform minerals</w:t>
            </w:r>
          </w:p>
          <w:p w:rsidR="00000000" w:rsidRPr="00E77D28" w:rsidP="00E77D28">
            <w:pPr>
              <w:pStyle w:val="ListBullet"/>
            </w:pPr>
            <w:r w:rsidRPr="00E77D28">
              <w:t>chemicals, such as hydrofluoric acid, bromine, perchloric acid, aqua regia and cya</w:t>
            </w:r>
            <w:r w:rsidRPr="00E77D28">
              <w:t>nide</w:t>
            </w:r>
          </w:p>
          <w:p w:rsidR="00000000" w:rsidRPr="00E77D28" w:rsidP="00E77D28">
            <w:pPr>
              <w:pStyle w:val="ListBullet"/>
            </w:pPr>
            <w:r w:rsidRPr="00E77D28">
              <w:t>lead-based compounds, free-mercury and nickel compounds</w:t>
            </w:r>
          </w:p>
          <w:p w:rsidR="00000000" w:rsidRPr="00E77D28" w:rsidP="00E77D28">
            <w:pPr>
              <w:pStyle w:val="ListBullet"/>
            </w:pPr>
            <w:r w:rsidRPr="00E77D28">
              <w:t>noise and vibration</w:t>
            </w:r>
          </w:p>
          <w:p w:rsidR="00000000" w:rsidRPr="00E77D28" w:rsidP="00E77D28">
            <w:pPr>
              <w:pStyle w:val="ListBullet"/>
            </w:pPr>
            <w:r w:rsidRPr="00E77D28">
              <w:t>crushing, entanglement and cuts associated with moving machinery</w:t>
            </w:r>
          </w:p>
          <w:p w:rsidR="00000000" w:rsidRPr="00E77D28" w:rsidP="00E77D28">
            <w:pPr>
              <w:pStyle w:val="ListBullet"/>
            </w:pPr>
            <w:r w:rsidRPr="00E77D28">
              <w:t>manual handling of heavy loads, such as sample bags, containers, racks and trolleys</w:t>
            </w:r>
          </w:p>
          <w:p w:rsidR="00000000" w:rsidRPr="00E77D28" w:rsidP="00E77D28">
            <w:pPr>
              <w:pStyle w:val="ListBullet"/>
            </w:pPr>
            <w:r w:rsidRPr="00E77D28">
              <w:t>heat exhaustion/stress and</w:t>
            </w:r>
            <w:r w:rsidRPr="00E77D28">
              <w:t xml:space="preserve"> fatigue</w:t>
            </w:r>
          </w:p>
          <w:p w:rsidR="00000000" w:rsidP="00E77D28">
            <w:pPr>
              <w:pStyle w:val="BodyText"/>
              <w:rPr>
                <w:lang w:val="en-NZ"/>
              </w:rPr>
            </w:pPr>
          </w:p>
        </w:tc>
      </w:tr>
      <w:tr w:rsidTr="006E775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7D28">
            <w:pPr>
              <w:pStyle w:val="BodyText"/>
              <w:rPr>
                <w:lang w:val="en-NZ"/>
              </w:rPr>
            </w:pPr>
            <w:r w:rsidRPr="00E77D28">
              <w:rPr>
                <w:rStyle w:val="SpecialBold"/>
              </w:rPr>
              <w:t>Safe work procedures</w:t>
            </w:r>
          </w:p>
        </w:tc>
        <w:tc>
          <w:tcPr>
            <w:tcW w:w="0" w:type="auto"/>
            <w:tcBorders>
              <w:top w:val="nil"/>
              <w:left w:val="nil"/>
              <w:bottom w:val="nil"/>
              <w:right w:val="nil"/>
            </w:tcBorders>
            <w:tcMar>
              <w:top w:w="0" w:type="dxa"/>
              <w:left w:w="62" w:type="dxa"/>
              <w:bottom w:w="0" w:type="dxa"/>
              <w:right w:w="62" w:type="dxa"/>
            </w:tcMar>
          </w:tcPr>
          <w:p w:rsidR="00000000" w:rsidRPr="00E77D28" w:rsidP="00E77D28">
            <w:pPr>
              <w:pStyle w:val="BodyText"/>
            </w:pPr>
            <w:r w:rsidRPr="00E77D28">
              <w:t>Safe work practices include, but are not limited to, one or more of:</w:t>
            </w:r>
          </w:p>
          <w:p w:rsidR="00000000" w:rsidRPr="00E77D28" w:rsidP="00E77D28">
            <w:pPr>
              <w:pStyle w:val="ListBullet"/>
            </w:pPr>
            <w:r w:rsidRPr="00E77D28">
              <w:t>ensuring access to service shut-off points</w:t>
            </w:r>
          </w:p>
          <w:p w:rsidR="00000000" w:rsidRPr="00E77D28" w:rsidP="00E77D28">
            <w:pPr>
              <w:pStyle w:val="ListBullet"/>
            </w:pPr>
            <w:r w:rsidRPr="00E77D28">
              <w:t>recognising and observing hazard warnings and safety signs</w:t>
            </w:r>
          </w:p>
          <w:p w:rsidR="00000000" w:rsidRPr="00E77D28" w:rsidP="00E77D28">
            <w:pPr>
              <w:pStyle w:val="ListBullet"/>
            </w:pPr>
            <w:r w:rsidRPr="00E77D28">
              <w:t>labelling of samples and hazardous materials</w:t>
            </w:r>
          </w:p>
          <w:p w:rsidR="00000000" w:rsidRPr="00E77D28" w:rsidP="00E77D28">
            <w:pPr>
              <w:pStyle w:val="ListBullet"/>
            </w:pPr>
            <w:r w:rsidRPr="00E77D28">
              <w:t>using direct extraction and fume hoods</w:t>
            </w:r>
          </w:p>
          <w:p w:rsidR="00000000" w:rsidRPr="00E77D28" w:rsidP="00E77D28">
            <w:pPr>
              <w:pStyle w:val="ListBullet"/>
            </w:pPr>
            <w:r w:rsidRPr="00E77D28">
              <w:t>using guards for moving machinery parts</w:t>
            </w:r>
          </w:p>
          <w:p w:rsidR="00000000" w:rsidRPr="00E77D28" w:rsidP="00E77D28">
            <w:pPr>
              <w:pStyle w:val="ListBullet"/>
            </w:pPr>
            <w:r w:rsidRPr="00E77D28">
              <w:t>providing noise insulation</w:t>
            </w:r>
          </w:p>
          <w:p w:rsidR="00000000" w:rsidRPr="00E77D28" w:rsidP="00E77D28">
            <w:pPr>
              <w:pStyle w:val="ListBullet"/>
            </w:pPr>
            <w:r w:rsidRPr="00E77D28">
              <w:t>following established manual handling procedures</w:t>
            </w:r>
          </w:p>
          <w:p w:rsidR="00000000" w:rsidRPr="00E77D28" w:rsidP="00E77D28">
            <w:pPr>
              <w:pStyle w:val="ListBullet"/>
            </w:pPr>
            <w:r w:rsidRPr="00E77D28">
              <w:t>regularly cleaning equipment and work areas using workplace procedures</w:t>
            </w:r>
          </w:p>
          <w:p w:rsidR="00000000" w:rsidRPr="00E77D28" w:rsidP="00E77D28">
            <w:pPr>
              <w:pStyle w:val="ListBullet"/>
            </w:pPr>
            <w:r w:rsidRPr="00E77D28">
              <w:t>reporting of abnormal emission</w:t>
            </w:r>
            <w:r w:rsidRPr="00E77D28">
              <w:t>s and airborne contaminants to appropriate personnel</w:t>
            </w:r>
          </w:p>
          <w:p w:rsidR="00000000" w:rsidRPr="00E77D28" w:rsidP="00E77D28">
            <w:pPr>
              <w:pStyle w:val="ListBullet"/>
            </w:pPr>
            <w:r w:rsidRPr="00E77D28">
              <w:t>using PPE, such as masks, gloves, boots, goggles, coats, ear muffs and safety boots</w:t>
            </w:r>
          </w:p>
          <w:p w:rsidR="00000000" w:rsidP="00E77D28">
            <w:pPr>
              <w:pStyle w:val="BodyText"/>
              <w:rPr>
                <w:lang w:val="en-NZ"/>
              </w:rPr>
            </w:pPr>
          </w:p>
        </w:tc>
      </w:tr>
      <w:tr w:rsidTr="006E775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7D28">
            <w:pPr>
              <w:pStyle w:val="BodyText"/>
              <w:rPr>
                <w:lang w:val="en-NZ"/>
              </w:rPr>
            </w:pPr>
            <w:r w:rsidRPr="00E77D28">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E77D28" w:rsidP="00E77D28">
            <w:pPr>
              <w:pStyle w:val="BodyText"/>
            </w:pPr>
            <w:r w:rsidRPr="00E77D28">
              <w:t>WHS and environmental management requirements include:</w:t>
            </w:r>
          </w:p>
          <w:p w:rsidR="00000000" w:rsidRPr="00E77D28" w:rsidP="00E77D28">
            <w:pPr>
              <w:pStyle w:val="BodyText"/>
            </w:pPr>
            <w:r w:rsidRPr="00E77D28">
              <w:rPr>
                <w:rStyle w:val="Symbols"/>
              </w:rPr>
              <w:t></w:t>
            </w:r>
            <w:r w:rsidRPr="00E77D28">
              <w:rPr>
                <w:rStyle w:val="Symbols"/>
              </w:rPr>
              <w:tab/>
            </w:r>
            <w:r w:rsidRPr="00E77D28">
              <w:t>complying with WHS and environmental management requirements at all times, which may be imposed through state/territory or federal legislation. These requirements must not be compromised at any time</w:t>
            </w:r>
          </w:p>
          <w:p w:rsidR="00000000" w:rsidRPr="00E77D28" w:rsidP="00E77D28">
            <w:pPr>
              <w:pStyle w:val="BodyText"/>
            </w:pPr>
            <w:r w:rsidRPr="00E77D28">
              <w:rPr>
                <w:rStyle w:val="Symbols"/>
              </w:rPr>
              <w:t></w:t>
            </w:r>
            <w:r w:rsidRPr="00E77D28">
              <w:rPr>
                <w:rStyle w:val="Symbols"/>
              </w:rPr>
              <w:tab/>
            </w:r>
            <w:r w:rsidRPr="00E77D28">
              <w:t>applying standard precautions relating to the potential</w:t>
            </w:r>
            <w:r w:rsidRPr="00E77D28">
              <w:t>ly hazardous nature of samples</w:t>
            </w:r>
          </w:p>
          <w:p w:rsidR="00000000" w:rsidRPr="00E77D28" w:rsidP="00E77D28">
            <w:pPr>
              <w:pStyle w:val="BodyText"/>
            </w:pPr>
          </w:p>
        </w:tc>
      </w:tr>
    </w:tbl>
    <w:p w:rsidR="00000000" w:rsidRPr="00E77D28" w:rsidP="00E77D28">
      <w:pPr>
        <w:pStyle w:val="BodyText"/>
      </w:pPr>
    </w:p>
    <w:p w:rsidR="00000000" w:rsidRPr="00E77D28" w:rsidP="00E77D28">
      <w:pPr>
        <w:pStyle w:val="AllowPageBreak"/>
      </w:pPr>
    </w:p>
    <w:p w:rsidR="00000000" w:rsidRPr="00E77D28" w:rsidP="00E77D28">
      <w:pPr>
        <w:pStyle w:val="Heading1"/>
      </w:pPr>
      <w:bookmarkStart w:id="9" w:name="O_902960"/>
      <w:bookmarkEnd w:id="9"/>
      <w:r w:rsidRPr="00E77D28">
        <w:t>Unit Mapping Information</w:t>
      </w:r>
    </w:p>
    <w:p w:rsidR="00000000" w:rsidRPr="00E77D28" w:rsidP="00E77D28">
      <w:pPr>
        <w:pStyle w:val="BodyText"/>
      </w:pPr>
      <w:r w:rsidRPr="00E77D28">
        <w:t xml:space="preserve">Release 1. Supersedes and is equivalent to MSL954002A Prepare mineral samples for analysis  </w:t>
      </w:r>
    </w:p>
    <w:p w:rsidR="00000000" w:rsidRPr="00E77D28" w:rsidP="00E77D28">
      <w:pPr>
        <w:pStyle w:val="AllowPageBreak"/>
      </w:pPr>
    </w:p>
    <w:p w:rsidR="00000000" w:rsidRPr="00E77D28" w:rsidP="00E77D28">
      <w:pPr>
        <w:pStyle w:val="Heading1"/>
      </w:pPr>
      <w:bookmarkStart w:id="10" w:name="O_902953"/>
      <w:bookmarkEnd w:id="10"/>
      <w:r w:rsidRPr="00E77D28">
        <w:t>Links</w:t>
      </w:r>
    </w:p>
    <w:p w:rsidR="00000000" w:rsidRPr="00E77D28" w:rsidP="00E77D28">
      <w:pPr>
        <w:pStyle w:val="BodyText"/>
      </w:pPr>
      <w:r w:rsidRPr="00E77D28">
        <w:t>MSA Training Package Implementation Guides - http://mskills.org.au/training-packages/info/</w:t>
      </w:r>
    </w:p>
    <w:p w:rsidR="00000000" w:rsidRPr="00E77D28" w:rsidP="00E77D28"/>
    <w:sectPr w:rsidSect="00E77D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D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D28" w:rsidRPr="006E7750" w:rsidP="006E77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D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750" w:rsidP="00E77D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E7750" w:rsidP="00E77D28">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E7750" w:rsidP="00E77D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D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D28" w:rsidRPr="006E7750" w:rsidP="006E775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D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750" w:rsidRPr="002D2AF8" w:rsidP="00E77D28">
    <w:pPr>
      <w:pStyle w:val="Header"/>
      <w:framePr w:wrap="around"/>
    </w:pPr>
    <w:r>
      <w:fldChar w:fldCharType="begin"/>
    </w:r>
    <w:r>
      <w:instrText xml:space="preserve"> TITLE   \* MERGEFORMAT </w:instrText>
    </w:r>
    <w:r>
      <w:fldChar w:fldCharType="separate"/>
    </w:r>
    <w:r>
      <w:t>MSL954002 Prepare mineral samples for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2016</w:t>
    </w:r>
    <w:r>
      <w:fldChar w:fldCharType="end"/>
    </w:r>
  </w:p>
  <w:p w:rsidR="006E7750" w:rsidP="00E77D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A14AE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89A1F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7D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7D28"/>
    <w:pPr>
      <w:spacing w:before="360" w:after="60"/>
      <w:outlineLvl w:val="0"/>
    </w:pPr>
    <w:rPr>
      <w:sz w:val="32"/>
    </w:rPr>
  </w:style>
  <w:style w:type="paragraph" w:styleId="Heading2">
    <w:name w:val="heading 2"/>
    <w:basedOn w:val="HeadingBase"/>
    <w:next w:val="BodyText"/>
    <w:link w:val="Heading2Char"/>
    <w:qFormat/>
    <w:rsid w:val="00E77D28"/>
    <w:pPr>
      <w:keepLines/>
      <w:spacing w:before="240" w:after="120"/>
      <w:outlineLvl w:val="1"/>
    </w:pPr>
    <w:rPr>
      <w:sz w:val="28"/>
      <w:szCs w:val="40"/>
    </w:rPr>
  </w:style>
  <w:style w:type="paragraph" w:styleId="Heading3">
    <w:name w:val="heading 3"/>
    <w:basedOn w:val="HeadingBase"/>
    <w:next w:val="BodyText"/>
    <w:link w:val="Heading3Char"/>
    <w:qFormat/>
    <w:rsid w:val="00E77D28"/>
    <w:pPr>
      <w:spacing w:before="180" w:after="120"/>
      <w:outlineLvl w:val="2"/>
    </w:pPr>
    <w:rPr>
      <w:spacing w:val="-10"/>
      <w:kern w:val="32"/>
    </w:rPr>
  </w:style>
  <w:style w:type="paragraph" w:styleId="Heading4">
    <w:name w:val="heading 4"/>
    <w:basedOn w:val="HeadingBase"/>
    <w:next w:val="BodyText"/>
    <w:link w:val="Heading4Char"/>
    <w:qFormat/>
    <w:rsid w:val="00E77D28"/>
    <w:pPr>
      <w:spacing w:before="160" w:after="120"/>
      <w:outlineLvl w:val="3"/>
    </w:pPr>
    <w:rPr>
      <w:sz w:val="22"/>
    </w:rPr>
  </w:style>
  <w:style w:type="paragraph" w:styleId="Heading5">
    <w:name w:val="heading 5"/>
    <w:basedOn w:val="HeadingBase"/>
    <w:next w:val="Normal"/>
    <w:link w:val="Heading5Char"/>
    <w:qFormat/>
    <w:rsid w:val="00E77D28"/>
    <w:pPr>
      <w:spacing w:before="80"/>
      <w:outlineLvl w:val="4"/>
    </w:pPr>
    <w:rPr>
      <w:color w:val="918585"/>
      <w:sz w:val="20"/>
    </w:rPr>
  </w:style>
  <w:style w:type="paragraph" w:styleId="Heading6">
    <w:name w:val="heading 6"/>
    <w:basedOn w:val="HeadingBase"/>
    <w:next w:val="Normal"/>
    <w:link w:val="Heading6Char"/>
    <w:qFormat/>
    <w:rsid w:val="00E77D28"/>
    <w:pPr>
      <w:spacing w:before="60"/>
      <w:outlineLvl w:val="5"/>
    </w:pPr>
    <w:rPr>
      <w:color w:val="918585"/>
      <w:sz w:val="20"/>
    </w:rPr>
  </w:style>
  <w:style w:type="paragraph" w:styleId="Heading7">
    <w:name w:val="heading 7"/>
    <w:basedOn w:val="Normal"/>
    <w:next w:val="Normal"/>
    <w:link w:val="Heading7Char"/>
    <w:qFormat/>
    <w:rsid w:val="00E77D28"/>
    <w:pPr>
      <w:ind w:left="720"/>
      <w:outlineLvl w:val="6"/>
    </w:pPr>
    <w:rPr>
      <w:i/>
    </w:rPr>
  </w:style>
  <w:style w:type="paragraph" w:styleId="Heading8">
    <w:name w:val="heading 8"/>
    <w:basedOn w:val="Normal"/>
    <w:next w:val="Normal"/>
    <w:link w:val="Heading8Char"/>
    <w:qFormat/>
    <w:rsid w:val="00E77D28"/>
    <w:pPr>
      <w:ind w:left="720"/>
      <w:outlineLvl w:val="7"/>
    </w:pPr>
    <w:rPr>
      <w:i/>
    </w:rPr>
  </w:style>
  <w:style w:type="paragraph" w:styleId="Heading9">
    <w:name w:val="heading 9"/>
    <w:basedOn w:val="Normal"/>
    <w:next w:val="Normal"/>
    <w:link w:val="Heading9Char"/>
    <w:qFormat/>
    <w:rsid w:val="00E77D28"/>
    <w:pPr>
      <w:ind w:left="720"/>
      <w:outlineLvl w:val="8"/>
    </w:pPr>
    <w:rPr>
      <w:i/>
    </w:rPr>
  </w:style>
  <w:style w:type="character" w:default="1" w:styleId="DefaultParagraphFont">
    <w:name w:val="Default Paragraph Font"/>
    <w:uiPriority w:val="1"/>
    <w:unhideWhenUsed/>
    <w:rsid w:val="00E77D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7D28"/>
  </w:style>
  <w:style w:type="character" w:customStyle="1" w:styleId="Heading1Char">
    <w:name w:val="Heading 1 Char"/>
    <w:basedOn w:val="DefaultParagraphFont"/>
    <w:link w:val="Heading1"/>
    <w:rsid w:val="00E77D28"/>
    <w:rPr>
      <w:rFonts w:ascii="Times New Roman" w:eastAsia="Times New Roman" w:hAnsi="Times New Roman" w:cs="Times New Roman"/>
      <w:b/>
      <w:sz w:val="32"/>
      <w:szCs w:val="20"/>
      <w:lang w:eastAsia="en-US"/>
    </w:rPr>
  </w:style>
  <w:style w:type="paragraph" w:styleId="BodyText">
    <w:name w:val="Body Text"/>
    <w:basedOn w:val="Normal"/>
    <w:link w:val="BodyTextChar"/>
    <w:rsid w:val="00E77D2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7D28"/>
    <w:rPr>
      <w:rFonts w:ascii="Times New Roman" w:eastAsia="Times New Roman" w:hAnsi="Times New Roman" w:cs="Times New Roman"/>
      <w:sz w:val="24"/>
      <w:lang w:eastAsia="en-US"/>
    </w:rPr>
  </w:style>
  <w:style w:type="paragraph" w:styleId="ListBullet">
    <w:name w:val="List Bullet"/>
    <w:basedOn w:val="List"/>
    <w:rsid w:val="00E77D28"/>
    <w:pPr>
      <w:numPr>
        <w:numId w:val="12"/>
      </w:numPr>
      <w:tabs>
        <w:tab w:val="clear" w:pos="340"/>
      </w:tabs>
      <w:spacing w:before="40" w:after="40"/>
    </w:pPr>
  </w:style>
  <w:style w:type="character" w:customStyle="1" w:styleId="SpecialBold">
    <w:name w:val="Special Bold"/>
    <w:basedOn w:val="DefaultParagraphFont"/>
    <w:rsid w:val="00E77D28"/>
    <w:rPr>
      <w:b/>
      <w:spacing w:val="0"/>
    </w:rPr>
  </w:style>
  <w:style w:type="paragraph" w:customStyle="1" w:styleId="SuperHeading">
    <w:name w:val="SuperHeading"/>
    <w:basedOn w:val="Normal"/>
    <w:rsid w:val="00E77D28"/>
    <w:pPr>
      <w:spacing w:before="240" w:after="120"/>
      <w:outlineLvl w:val="0"/>
    </w:pPr>
    <w:rPr>
      <w:rFonts w:ascii="Times New Roman" w:hAnsi="Times New Roman"/>
      <w:b/>
      <w:sz w:val="32"/>
    </w:rPr>
  </w:style>
  <w:style w:type="paragraph" w:customStyle="1" w:styleId="AllowPageBreak">
    <w:name w:val="AllowPageBreak"/>
    <w:rsid w:val="00E77D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E77D28"/>
    <w:rPr>
      <w:rFonts w:ascii="Symbol" w:hAnsi="Symbol"/>
    </w:rPr>
  </w:style>
  <w:style w:type="character" w:customStyle="1" w:styleId="Heading2Char">
    <w:name w:val="Heading 2 Char"/>
    <w:basedOn w:val="DefaultParagraphFont"/>
    <w:link w:val="Heading2"/>
    <w:rsid w:val="00E77D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7D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7D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7D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7D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7D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7D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7D28"/>
    <w:rPr>
      <w:rFonts w:ascii="Courier New" w:eastAsia="Times New Roman" w:hAnsi="Courier New" w:cs="Times New Roman"/>
      <w:i/>
      <w:szCs w:val="20"/>
      <w:lang w:eastAsia="en-US"/>
    </w:rPr>
  </w:style>
  <w:style w:type="paragraph" w:customStyle="1" w:styleId="HeadingBase">
    <w:name w:val="Heading Base"/>
    <w:rsid w:val="00E77D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7D28"/>
    <w:pPr>
      <w:tabs>
        <w:tab w:val="right" w:leader="dot" w:pos="9072"/>
      </w:tabs>
      <w:ind w:left="567"/>
    </w:pPr>
    <w:rPr>
      <w:szCs w:val="22"/>
    </w:rPr>
  </w:style>
  <w:style w:type="paragraph" w:customStyle="1" w:styleId="TOCBase">
    <w:name w:val="TOC Base"/>
    <w:rsid w:val="00E77D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7D28"/>
    <w:pPr>
      <w:tabs>
        <w:tab w:val="right" w:leader="dot" w:pos="9072"/>
      </w:tabs>
      <w:spacing w:before="40" w:after="40"/>
      <w:ind w:left="284"/>
    </w:pPr>
    <w:rPr>
      <w:rFonts w:ascii="Times New Roman" w:hAnsi="Times New Roman"/>
    </w:rPr>
  </w:style>
  <w:style w:type="paragraph" w:styleId="TOC1">
    <w:name w:val="toc 1"/>
    <w:basedOn w:val="TOCBase"/>
    <w:next w:val="Normal"/>
    <w:rsid w:val="00E77D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7D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7D28"/>
    <w:rPr>
      <w:rFonts w:ascii="Times New Roman" w:eastAsia="Times New Roman" w:hAnsi="Times New Roman" w:cs="Times New Roman"/>
      <w:sz w:val="16"/>
      <w:lang w:eastAsia="en-US"/>
    </w:rPr>
  </w:style>
  <w:style w:type="paragraph" w:styleId="Title">
    <w:name w:val="Title"/>
    <w:basedOn w:val="HeadingBase"/>
    <w:link w:val="TitleChar"/>
    <w:qFormat/>
    <w:rsid w:val="00E77D28"/>
    <w:pPr>
      <w:spacing w:before="5040"/>
      <w:jc w:val="center"/>
    </w:pPr>
    <w:rPr>
      <w:sz w:val="48"/>
      <w:szCs w:val="72"/>
      <w:lang w:val="en-US"/>
    </w:rPr>
  </w:style>
  <w:style w:type="character" w:customStyle="1" w:styleId="TitleChar">
    <w:name w:val="Title Char"/>
    <w:basedOn w:val="DefaultParagraphFont"/>
    <w:link w:val="Title"/>
    <w:rsid w:val="00E77D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7D28"/>
    <w:pPr>
      <w:tabs>
        <w:tab w:val="left" w:pos="3600"/>
        <w:tab w:val="left" w:pos="3958"/>
      </w:tabs>
    </w:pPr>
  </w:style>
  <w:style w:type="paragraph" w:styleId="List">
    <w:name w:val="List"/>
    <w:basedOn w:val="BodyText"/>
    <w:next w:val="BodyText"/>
    <w:rsid w:val="00E77D28"/>
    <w:pPr>
      <w:tabs>
        <w:tab w:val="left" w:pos="340"/>
      </w:tabs>
      <w:spacing w:before="60" w:after="60"/>
      <w:ind w:left="340" w:hanging="340"/>
    </w:pPr>
  </w:style>
  <w:style w:type="paragraph" w:customStyle="1" w:styleId="Note">
    <w:name w:val="Note"/>
    <w:basedOn w:val="BodyText"/>
    <w:rsid w:val="00E77D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7D28"/>
    <w:pPr>
      <w:framePr w:wrap="auto" w:hAnchor="text" w:y="6049"/>
    </w:pPr>
    <w:rPr>
      <w:color w:val="000000"/>
      <w:sz w:val="40"/>
    </w:rPr>
  </w:style>
  <w:style w:type="paragraph" w:customStyle="1" w:styleId="TOCTitle">
    <w:name w:val="TOCTitle"/>
    <w:basedOn w:val="Heading1"/>
    <w:rsid w:val="00E77D28"/>
    <w:pPr>
      <w:spacing w:after="240"/>
      <w:jc w:val="center"/>
      <w:outlineLvl w:val="9"/>
    </w:pPr>
    <w:rPr>
      <w:caps/>
    </w:rPr>
  </w:style>
  <w:style w:type="paragraph" w:customStyle="1" w:styleId="Version">
    <w:name w:val="Version"/>
    <w:rsid w:val="00E77D2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77D28"/>
    <w:pPr>
      <w:numPr>
        <w:numId w:val="13"/>
      </w:numPr>
      <w:tabs>
        <w:tab w:val="clear" w:pos="680"/>
      </w:tabs>
    </w:pPr>
  </w:style>
  <w:style w:type="paragraph" w:styleId="Index1">
    <w:name w:val="index 1"/>
    <w:basedOn w:val="Normal"/>
    <w:next w:val="Normal"/>
    <w:semiHidden/>
    <w:rsid w:val="00E77D28"/>
    <w:pPr>
      <w:keepNext w:val="0"/>
      <w:tabs>
        <w:tab w:val="right" w:pos="4176"/>
      </w:tabs>
      <w:ind w:left="198" w:hanging="198"/>
    </w:pPr>
    <w:rPr>
      <w:rFonts w:ascii="Garamond" w:hAnsi="Garamond"/>
    </w:rPr>
  </w:style>
  <w:style w:type="paragraph" w:styleId="IndexHeading">
    <w:name w:val="index heading"/>
    <w:basedOn w:val="Normal"/>
    <w:next w:val="Index1"/>
    <w:semiHidden/>
    <w:rsid w:val="00E77D28"/>
    <w:pPr>
      <w:spacing w:before="120" w:after="120"/>
    </w:pPr>
    <w:rPr>
      <w:rFonts w:ascii="Arial" w:hAnsi="Arial"/>
      <w:b/>
      <w:color w:val="918585"/>
      <w:sz w:val="24"/>
    </w:rPr>
  </w:style>
  <w:style w:type="paragraph" w:styleId="Header">
    <w:name w:val="header"/>
    <w:basedOn w:val="Normal"/>
    <w:link w:val="HeaderChar"/>
    <w:rsid w:val="00E77D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7D28"/>
    <w:rPr>
      <w:rFonts w:ascii="Times New Roman" w:eastAsia="Times New Roman" w:hAnsi="Times New Roman" w:cs="Times New Roman"/>
      <w:sz w:val="16"/>
      <w:szCs w:val="20"/>
      <w:lang w:val="en-GB" w:eastAsia="en-US"/>
    </w:rPr>
  </w:style>
  <w:style w:type="paragraph" w:customStyle="1" w:styleId="Chapter">
    <w:name w:val="Chapter"/>
    <w:basedOn w:val="Normal"/>
    <w:rsid w:val="00E77D28"/>
    <w:pPr>
      <w:spacing w:before="240"/>
    </w:pPr>
    <w:rPr>
      <w:rFonts w:ascii="Times New Roman" w:hAnsi="Times New Roman"/>
      <w:smallCaps/>
      <w:spacing w:val="80"/>
      <w:sz w:val="28"/>
    </w:rPr>
  </w:style>
  <w:style w:type="paragraph" w:customStyle="1" w:styleId="InChapter">
    <w:name w:val="InChapter"/>
    <w:basedOn w:val="Heading3"/>
    <w:rsid w:val="00E77D28"/>
    <w:pPr>
      <w:spacing w:after="240"/>
      <w:outlineLvl w:val="9"/>
    </w:pPr>
    <w:rPr>
      <w:noProof/>
    </w:rPr>
  </w:style>
  <w:style w:type="paragraph" w:styleId="Index2">
    <w:name w:val="index 2"/>
    <w:basedOn w:val="Normal"/>
    <w:next w:val="Normal"/>
    <w:semiHidden/>
    <w:rsid w:val="00E77D28"/>
    <w:pPr>
      <w:tabs>
        <w:tab w:val="right" w:pos="4176"/>
      </w:tabs>
      <w:ind w:left="568" w:hanging="284"/>
    </w:pPr>
    <w:rPr>
      <w:rFonts w:ascii="Garamond" w:hAnsi="Garamond"/>
    </w:rPr>
  </w:style>
  <w:style w:type="paragraph" w:customStyle="1" w:styleId="Byline">
    <w:name w:val="Byline"/>
    <w:rsid w:val="00E77D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7D28"/>
    <w:pPr>
      <w:tabs>
        <w:tab w:val="clear" w:pos="3600"/>
        <w:tab w:val="clear" w:pos="3958"/>
      </w:tabs>
      <w:jc w:val="right"/>
    </w:pPr>
  </w:style>
  <w:style w:type="character" w:styleId="Emphasis">
    <w:name w:val="Emphasis"/>
    <w:basedOn w:val="DefaultParagraphFont"/>
    <w:qFormat/>
    <w:rsid w:val="00E77D28"/>
    <w:rPr>
      <w:i/>
    </w:rPr>
  </w:style>
  <w:style w:type="paragraph" w:styleId="Caption">
    <w:name w:val="caption"/>
    <w:basedOn w:val="BodyText"/>
    <w:next w:val="Normal"/>
    <w:qFormat/>
    <w:rsid w:val="00E77D28"/>
    <w:pPr>
      <w:framePr w:w="2268" w:hSpace="181" w:vSpace="181" w:wrap="around" w:vAnchor="text" w:hAnchor="page" w:x="1135" w:y="285" w:anchorLock="1"/>
    </w:pPr>
    <w:rPr>
      <w:i/>
    </w:rPr>
  </w:style>
  <w:style w:type="paragraph" w:customStyle="1" w:styleId="MiniTOCTitle">
    <w:name w:val="MiniTOCTitle"/>
    <w:basedOn w:val="Heading4"/>
    <w:rsid w:val="00E77D28"/>
    <w:pPr>
      <w:spacing w:before="240"/>
      <w:outlineLvl w:val="9"/>
    </w:pPr>
    <w:rPr>
      <w:noProof/>
      <w:sz w:val="24"/>
    </w:rPr>
  </w:style>
  <w:style w:type="paragraph" w:customStyle="1" w:styleId="MiniTOCItem">
    <w:name w:val="MiniTOCItem"/>
    <w:basedOn w:val="ListBullet"/>
    <w:rsid w:val="00E77D28"/>
    <w:pPr>
      <w:numPr>
        <w:numId w:val="0"/>
      </w:numPr>
      <w:tabs>
        <w:tab w:val="right" w:leader="dot" w:pos="6521"/>
      </w:tabs>
      <w:spacing w:before="0" w:after="0"/>
    </w:pPr>
  </w:style>
  <w:style w:type="paragraph" w:customStyle="1" w:styleId="TOFTitle">
    <w:name w:val="TOFTitle"/>
    <w:basedOn w:val="TOCTitle"/>
    <w:rsid w:val="00E77D28"/>
  </w:style>
  <w:style w:type="paragraph" w:styleId="TableofFigures">
    <w:name w:val="table of figures"/>
    <w:basedOn w:val="Normal"/>
    <w:next w:val="Normal"/>
    <w:semiHidden/>
    <w:rsid w:val="00E77D28"/>
    <w:pPr>
      <w:tabs>
        <w:tab w:val="right" w:leader="dot" w:pos="9072"/>
      </w:tabs>
      <w:ind w:left="970" w:hanging="403"/>
    </w:pPr>
    <w:rPr>
      <w:rFonts w:ascii="Times New Roman" w:hAnsi="Times New Roman"/>
      <w:b/>
    </w:rPr>
  </w:style>
  <w:style w:type="paragraph" w:styleId="ListNumber">
    <w:name w:val="List Number"/>
    <w:basedOn w:val="List"/>
    <w:rsid w:val="00E77D28"/>
    <w:pPr>
      <w:numPr>
        <w:numId w:val="10"/>
      </w:numPr>
    </w:pPr>
  </w:style>
  <w:style w:type="character" w:customStyle="1" w:styleId="WingdingSymbols">
    <w:name w:val="Wingding Symbols"/>
    <w:rsid w:val="00E77D28"/>
    <w:rPr>
      <w:rFonts w:ascii="Wingdings" w:hAnsi="Wingdings"/>
    </w:rPr>
  </w:style>
  <w:style w:type="paragraph" w:customStyle="1" w:styleId="TableHeading">
    <w:name w:val="Table Heading"/>
    <w:basedOn w:val="HeadingBase"/>
    <w:rsid w:val="00E77D28"/>
    <w:pPr>
      <w:keepLines/>
      <w:pBdr>
        <w:bottom w:val="single" w:sz="6" w:space="1" w:color="918585"/>
      </w:pBdr>
      <w:spacing w:before="240"/>
    </w:pPr>
  </w:style>
  <w:style w:type="character" w:customStyle="1" w:styleId="HotSpot">
    <w:name w:val="HotSpot"/>
    <w:rsid w:val="00E77D28"/>
    <w:rPr>
      <w:color w:val="0033CC"/>
      <w:u w:val="none"/>
    </w:rPr>
  </w:style>
  <w:style w:type="paragraph" w:customStyle="1" w:styleId="BodyTextRight">
    <w:name w:val="Body Text Right"/>
    <w:basedOn w:val="BodyText"/>
    <w:rsid w:val="00E77D28"/>
    <w:pPr>
      <w:spacing w:before="0" w:after="0"/>
      <w:jc w:val="right"/>
    </w:pPr>
  </w:style>
  <w:style w:type="paragraph" w:styleId="Index3">
    <w:name w:val="index 3"/>
    <w:basedOn w:val="ListNumber2"/>
    <w:next w:val="Normal"/>
    <w:semiHidden/>
    <w:rsid w:val="00E77D28"/>
    <w:pPr>
      <w:numPr>
        <w:numId w:val="0"/>
      </w:numPr>
      <w:tabs>
        <w:tab w:val="right" w:leader="dot" w:pos="4176"/>
      </w:tabs>
    </w:pPr>
  </w:style>
  <w:style w:type="paragraph" w:styleId="ListNumber2">
    <w:name w:val="List Number 2"/>
    <w:basedOn w:val="List2"/>
    <w:rsid w:val="00E77D28"/>
    <w:pPr>
      <w:numPr>
        <w:numId w:val="9"/>
      </w:numPr>
      <w:tabs>
        <w:tab w:val="clear" w:pos="1060"/>
      </w:tabs>
    </w:pPr>
  </w:style>
  <w:style w:type="paragraph" w:customStyle="1" w:styleId="MarginNote">
    <w:name w:val="Margin Note"/>
    <w:basedOn w:val="BodyText"/>
    <w:rsid w:val="00E77D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7D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7D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7D28"/>
    <w:rPr>
      <w:sz w:val="32"/>
    </w:rPr>
  </w:style>
  <w:style w:type="paragraph" w:customStyle="1" w:styleId="HeadingProcedure">
    <w:name w:val="Heading Procedure"/>
    <w:basedOn w:val="HeadingBase"/>
    <w:next w:val="Normal"/>
    <w:rsid w:val="00E77D28"/>
    <w:pPr>
      <w:tabs>
        <w:tab w:val="left" w:pos="0"/>
      </w:tabs>
      <w:spacing w:before="120" w:after="60"/>
    </w:pPr>
    <w:rPr>
      <w:i/>
      <w:color w:val="918585"/>
      <w:sz w:val="22"/>
    </w:rPr>
  </w:style>
  <w:style w:type="paragraph" w:customStyle="1" w:styleId="TableBodyText">
    <w:name w:val="Table Body Text"/>
    <w:basedOn w:val="BodyText"/>
    <w:rsid w:val="00E77D28"/>
    <w:pPr>
      <w:spacing w:before="60" w:after="60"/>
    </w:pPr>
  </w:style>
  <w:style w:type="paragraph" w:styleId="ListContinue">
    <w:name w:val="List Continue"/>
    <w:basedOn w:val="List"/>
    <w:rsid w:val="00E77D28"/>
    <w:pPr>
      <w:ind w:firstLine="0"/>
    </w:pPr>
  </w:style>
  <w:style w:type="paragraph" w:customStyle="1" w:styleId="ListNote">
    <w:name w:val="List Note"/>
    <w:basedOn w:val="List"/>
    <w:rsid w:val="00E77D28"/>
    <w:pPr>
      <w:pBdr>
        <w:top w:val="single" w:sz="6" w:space="2" w:color="918585"/>
        <w:bottom w:val="single" w:sz="6" w:space="2" w:color="918585"/>
      </w:pBdr>
      <w:tabs>
        <w:tab w:val="left" w:pos="1021"/>
      </w:tabs>
      <w:ind w:firstLine="0"/>
    </w:pPr>
  </w:style>
  <w:style w:type="paragraph" w:customStyle="1" w:styleId="Warning">
    <w:name w:val="Warning"/>
    <w:basedOn w:val="BodyText"/>
    <w:rsid w:val="00E77D28"/>
    <w:pPr>
      <w:shd w:val="clear" w:color="auto" w:fill="D9D9D9"/>
      <w:tabs>
        <w:tab w:val="left" w:pos="992"/>
      </w:tabs>
      <w:ind w:left="119" w:right="119"/>
    </w:pPr>
    <w:rPr>
      <w:sz w:val="20"/>
    </w:rPr>
  </w:style>
  <w:style w:type="paragraph" w:customStyle="1" w:styleId="MarginIcons">
    <w:name w:val="Margin Icons"/>
    <w:basedOn w:val="BodyText"/>
    <w:rsid w:val="00E77D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7D28"/>
    <w:rPr>
      <w:rFonts w:ascii="Courier New" w:hAnsi="Courier New"/>
    </w:rPr>
  </w:style>
  <w:style w:type="paragraph" w:customStyle="1" w:styleId="NoteBullet">
    <w:name w:val="Note Bullet"/>
    <w:basedOn w:val="Note"/>
    <w:rsid w:val="00E77D28"/>
    <w:pPr>
      <w:tabs>
        <w:tab w:val="clear" w:pos="680"/>
      </w:tabs>
      <w:spacing w:before="60" w:after="60"/>
    </w:pPr>
  </w:style>
  <w:style w:type="paragraph" w:customStyle="1" w:styleId="SubHeading2">
    <w:name w:val="SubHeading2"/>
    <w:basedOn w:val="HeadingBase"/>
    <w:rsid w:val="00E77D28"/>
    <w:pPr>
      <w:spacing w:before="240" w:after="60"/>
    </w:pPr>
    <w:rPr>
      <w:sz w:val="20"/>
    </w:rPr>
  </w:style>
  <w:style w:type="paragraph" w:customStyle="1" w:styleId="SubHeading1">
    <w:name w:val="SubHeading1"/>
    <w:basedOn w:val="HeadingBase"/>
    <w:rsid w:val="00E77D28"/>
    <w:pPr>
      <w:spacing w:before="240" w:after="60"/>
    </w:pPr>
    <w:rPr>
      <w:color w:val="918585"/>
      <w:sz w:val="22"/>
    </w:rPr>
  </w:style>
  <w:style w:type="paragraph" w:customStyle="1" w:styleId="SideHeading">
    <w:name w:val="Side Heading"/>
    <w:basedOn w:val="HeadingBase"/>
    <w:rsid w:val="00E77D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7D28"/>
    <w:pPr>
      <w:tabs>
        <w:tab w:val="num" w:pos="360"/>
      </w:tabs>
    </w:pPr>
  </w:style>
  <w:style w:type="paragraph" w:styleId="PlainText">
    <w:name w:val="Plain Text"/>
    <w:basedOn w:val="Normal"/>
    <w:link w:val="PlainTextChar"/>
    <w:rsid w:val="00E77D28"/>
    <w:rPr>
      <w:sz w:val="20"/>
    </w:rPr>
  </w:style>
  <w:style w:type="character" w:customStyle="1" w:styleId="PlainTextChar">
    <w:name w:val="Plain Text Char"/>
    <w:basedOn w:val="DefaultParagraphFont"/>
    <w:link w:val="PlainText"/>
    <w:rsid w:val="00E77D28"/>
    <w:rPr>
      <w:rFonts w:ascii="Courier New" w:eastAsia="Times New Roman" w:hAnsi="Courier New" w:cs="Times New Roman"/>
      <w:sz w:val="20"/>
      <w:szCs w:val="20"/>
      <w:lang w:eastAsia="en-US"/>
    </w:rPr>
  </w:style>
  <w:style w:type="character" w:customStyle="1" w:styleId="MenuOption">
    <w:name w:val="Menu Option"/>
    <w:basedOn w:val="DefaultParagraphFont"/>
    <w:rsid w:val="00E77D28"/>
    <w:rPr>
      <w:b/>
      <w:smallCaps/>
    </w:rPr>
  </w:style>
  <w:style w:type="paragraph" w:customStyle="1" w:styleId="TableListNumber">
    <w:name w:val="Table List Number"/>
    <w:basedOn w:val="ListNumber"/>
    <w:rsid w:val="00E77D28"/>
    <w:pPr>
      <w:numPr>
        <w:numId w:val="0"/>
      </w:numPr>
    </w:pPr>
  </w:style>
  <w:style w:type="paragraph" w:styleId="TOC4">
    <w:name w:val="toc 4"/>
    <w:basedOn w:val="TOCBase"/>
    <w:next w:val="Normal"/>
    <w:semiHidden/>
    <w:rsid w:val="00E77D28"/>
    <w:pPr>
      <w:tabs>
        <w:tab w:val="right" w:leader="dot" w:pos="9071"/>
      </w:tabs>
      <w:ind w:left="1701"/>
    </w:pPr>
  </w:style>
  <w:style w:type="paragraph" w:customStyle="1" w:styleId="ListAlpha">
    <w:name w:val="List Alpha"/>
    <w:basedOn w:val="List"/>
    <w:rsid w:val="00E77D28"/>
    <w:pPr>
      <w:numPr>
        <w:numId w:val="8"/>
      </w:numPr>
    </w:pPr>
  </w:style>
  <w:style w:type="paragraph" w:customStyle="1" w:styleId="ListAlpha2">
    <w:name w:val="List Alpha 2"/>
    <w:basedOn w:val="List2"/>
    <w:rsid w:val="00E77D28"/>
    <w:pPr>
      <w:numPr>
        <w:numId w:val="7"/>
      </w:numPr>
    </w:pPr>
  </w:style>
  <w:style w:type="paragraph" w:styleId="List2">
    <w:name w:val="List 2"/>
    <w:basedOn w:val="BodyText"/>
    <w:rsid w:val="00E77D28"/>
    <w:pPr>
      <w:tabs>
        <w:tab w:val="left" w:pos="680"/>
      </w:tabs>
      <w:spacing w:before="60" w:after="60"/>
      <w:ind w:left="680" w:hanging="340"/>
    </w:pPr>
  </w:style>
  <w:style w:type="paragraph" w:styleId="List3">
    <w:name w:val="List 3"/>
    <w:basedOn w:val="BodyText"/>
    <w:rsid w:val="00E77D28"/>
    <w:pPr>
      <w:tabs>
        <w:tab w:val="left" w:pos="1021"/>
      </w:tabs>
      <w:spacing w:before="60" w:after="60"/>
      <w:ind w:left="1020" w:hanging="340"/>
    </w:pPr>
  </w:style>
  <w:style w:type="paragraph" w:styleId="List4">
    <w:name w:val="List 4"/>
    <w:basedOn w:val="BodyText"/>
    <w:rsid w:val="00E77D28"/>
    <w:pPr>
      <w:tabs>
        <w:tab w:val="left" w:pos="1361"/>
      </w:tabs>
      <w:spacing w:before="60" w:after="60"/>
      <w:ind w:left="1361" w:hanging="340"/>
    </w:pPr>
  </w:style>
  <w:style w:type="paragraph" w:styleId="List5">
    <w:name w:val="List 5"/>
    <w:basedOn w:val="BodyText"/>
    <w:rsid w:val="00E77D28"/>
    <w:pPr>
      <w:tabs>
        <w:tab w:val="left" w:pos="1701"/>
      </w:tabs>
      <w:spacing w:before="60" w:after="60"/>
      <w:ind w:left="1701" w:hanging="340"/>
    </w:pPr>
  </w:style>
  <w:style w:type="paragraph" w:styleId="ListBullet3">
    <w:name w:val="List Bullet 3"/>
    <w:basedOn w:val="List3"/>
    <w:rsid w:val="00E77D28"/>
    <w:pPr>
      <w:numPr>
        <w:numId w:val="14"/>
      </w:numPr>
      <w:tabs>
        <w:tab w:val="clear" w:pos="1021"/>
      </w:tabs>
      <w:ind w:left="1037" w:hanging="357"/>
    </w:pPr>
  </w:style>
  <w:style w:type="paragraph" w:styleId="ListBullet4">
    <w:name w:val="List Bullet 4"/>
    <w:basedOn w:val="List4"/>
    <w:rsid w:val="00E77D28"/>
    <w:pPr>
      <w:numPr>
        <w:numId w:val="2"/>
      </w:numPr>
      <w:tabs>
        <w:tab w:val="clear" w:pos="1361"/>
      </w:tabs>
    </w:pPr>
  </w:style>
  <w:style w:type="paragraph" w:styleId="ListBullet5">
    <w:name w:val="List Bullet 5"/>
    <w:basedOn w:val="List5"/>
    <w:rsid w:val="00E77D28"/>
    <w:pPr>
      <w:numPr>
        <w:numId w:val="3"/>
      </w:numPr>
    </w:pPr>
  </w:style>
  <w:style w:type="paragraph" w:styleId="ListContinue2">
    <w:name w:val="List Continue 2"/>
    <w:basedOn w:val="List2"/>
    <w:rsid w:val="00E77D28"/>
    <w:pPr>
      <w:ind w:firstLine="0"/>
    </w:pPr>
  </w:style>
  <w:style w:type="paragraph" w:styleId="ListContinue3">
    <w:name w:val="List Continue 3"/>
    <w:basedOn w:val="List3"/>
    <w:rsid w:val="00E77D28"/>
    <w:pPr>
      <w:ind w:left="1021" w:firstLine="0"/>
    </w:pPr>
  </w:style>
  <w:style w:type="paragraph" w:styleId="ListContinue4">
    <w:name w:val="List Continue 4"/>
    <w:basedOn w:val="List4"/>
    <w:rsid w:val="00E77D28"/>
    <w:pPr>
      <w:ind w:firstLine="0"/>
    </w:pPr>
  </w:style>
  <w:style w:type="paragraph" w:styleId="ListContinue5">
    <w:name w:val="List Continue 5"/>
    <w:basedOn w:val="List5"/>
    <w:rsid w:val="00E77D28"/>
    <w:pPr>
      <w:ind w:firstLine="0"/>
    </w:pPr>
  </w:style>
  <w:style w:type="paragraph" w:styleId="ListNumber3">
    <w:name w:val="List Number 3"/>
    <w:basedOn w:val="List3"/>
    <w:rsid w:val="00E77D28"/>
    <w:pPr>
      <w:numPr>
        <w:numId w:val="4"/>
      </w:numPr>
    </w:pPr>
  </w:style>
  <w:style w:type="paragraph" w:styleId="ListNumber4">
    <w:name w:val="List Number 4"/>
    <w:basedOn w:val="List4"/>
    <w:rsid w:val="00E77D28"/>
    <w:pPr>
      <w:numPr>
        <w:numId w:val="5"/>
      </w:numPr>
    </w:pPr>
  </w:style>
  <w:style w:type="paragraph" w:styleId="ListNumber5">
    <w:name w:val="List Number 5"/>
    <w:basedOn w:val="List5"/>
    <w:rsid w:val="00E77D28"/>
    <w:pPr>
      <w:numPr>
        <w:numId w:val="6"/>
      </w:numPr>
    </w:pPr>
  </w:style>
  <w:style w:type="paragraph" w:styleId="BlockText">
    <w:name w:val="Block Text"/>
    <w:basedOn w:val="Normal"/>
    <w:rsid w:val="00E77D28"/>
    <w:pPr>
      <w:spacing w:after="120"/>
      <w:ind w:left="1440" w:right="1440"/>
    </w:pPr>
  </w:style>
  <w:style w:type="character" w:customStyle="1" w:styleId="Subscript">
    <w:name w:val="Subscript"/>
    <w:basedOn w:val="DefaultParagraphFont"/>
    <w:rsid w:val="00E77D28"/>
    <w:rPr>
      <w:sz w:val="16"/>
      <w:vertAlign w:val="subscript"/>
    </w:rPr>
  </w:style>
  <w:style w:type="character" w:customStyle="1" w:styleId="Superscript">
    <w:name w:val="Superscript"/>
    <w:basedOn w:val="DefaultParagraphFont"/>
    <w:rsid w:val="00E77D28"/>
    <w:rPr>
      <w:sz w:val="16"/>
      <w:vertAlign w:val="superscript"/>
    </w:rPr>
  </w:style>
  <w:style w:type="character" w:customStyle="1" w:styleId="MenuOptions">
    <w:name w:val="Menu Options"/>
    <w:basedOn w:val="DefaultParagraphFont"/>
    <w:rsid w:val="00E77D28"/>
    <w:rPr>
      <w:rFonts w:ascii="Arial Narrow" w:hAnsi="Arial Narrow"/>
      <w:smallCaps/>
    </w:rPr>
  </w:style>
  <w:style w:type="character" w:customStyle="1" w:styleId="Buttons">
    <w:name w:val="Buttons"/>
    <w:basedOn w:val="DefaultParagraphFont"/>
    <w:rsid w:val="00E77D28"/>
    <w:rPr>
      <w:b/>
    </w:rPr>
  </w:style>
  <w:style w:type="character" w:customStyle="1" w:styleId="Underlined">
    <w:name w:val="Underlined"/>
    <w:basedOn w:val="DefaultParagraphFont"/>
    <w:rsid w:val="00E77D28"/>
    <w:rPr>
      <w:u w:val="single"/>
    </w:rPr>
  </w:style>
  <w:style w:type="paragraph" w:customStyle="1" w:styleId="TableBodyTextRight">
    <w:name w:val="Table Body Text Right"/>
    <w:basedOn w:val="TableBodyText"/>
    <w:rsid w:val="00E77D28"/>
    <w:pPr>
      <w:widowControl w:val="0"/>
      <w:autoSpaceDE w:val="0"/>
      <w:autoSpaceDN w:val="0"/>
      <w:adjustRightInd w:val="0"/>
      <w:jc w:val="right"/>
    </w:pPr>
    <w:rPr>
      <w:rFonts w:cs="Arial"/>
      <w:szCs w:val="18"/>
    </w:rPr>
  </w:style>
  <w:style w:type="paragraph" w:customStyle="1" w:styleId="CopyrightText">
    <w:name w:val="Copyright Text"/>
    <w:basedOn w:val="BodyText"/>
    <w:rsid w:val="00E77D28"/>
    <w:rPr>
      <w:sz w:val="18"/>
    </w:rPr>
  </w:style>
  <w:style w:type="paragraph" w:customStyle="1" w:styleId="BodySmallRight">
    <w:name w:val="Body Small Right"/>
    <w:basedOn w:val="BodyTextRight"/>
    <w:rsid w:val="00E77D28"/>
    <w:rPr>
      <w:sz w:val="18"/>
      <w:szCs w:val="18"/>
    </w:rPr>
  </w:style>
  <w:style w:type="paragraph" w:customStyle="1" w:styleId="MarginEdition">
    <w:name w:val="Margin Edition"/>
    <w:basedOn w:val="MarginNote"/>
    <w:rsid w:val="00E77D28"/>
    <w:pPr>
      <w:spacing w:before="0" w:after="0"/>
    </w:pPr>
    <w:rPr>
      <w:rFonts w:ascii="Times New Roman" w:hAnsi="Times New Roman"/>
      <w:color w:val="999999"/>
    </w:rPr>
  </w:style>
  <w:style w:type="paragraph" w:customStyle="1" w:styleId="Spacer">
    <w:name w:val="Spacer"/>
    <w:basedOn w:val="Normal"/>
    <w:rsid w:val="00E77D28"/>
    <w:rPr>
      <w:sz w:val="2"/>
      <w:szCs w:val="2"/>
    </w:rPr>
  </w:style>
  <w:style w:type="character" w:customStyle="1" w:styleId="Small">
    <w:name w:val="Small"/>
    <w:basedOn w:val="DefaultParagraphFont"/>
    <w:rsid w:val="00E77D28"/>
    <w:rPr>
      <w:sz w:val="16"/>
    </w:rPr>
  </w:style>
  <w:style w:type="paragraph" w:customStyle="1" w:styleId="WideTable">
    <w:name w:val="Wide Table"/>
    <w:basedOn w:val="Normal"/>
    <w:rsid w:val="00E77D28"/>
    <w:pPr>
      <w:ind w:left="-1418"/>
    </w:pPr>
    <w:rPr>
      <w:sz w:val="2"/>
      <w:szCs w:val="2"/>
    </w:rPr>
  </w:style>
  <w:style w:type="character" w:styleId="PageNumber">
    <w:name w:val="page number"/>
    <w:basedOn w:val="DefaultParagraphFont"/>
    <w:rsid w:val="00E77D28"/>
  </w:style>
  <w:style w:type="paragraph" w:styleId="Quote">
    <w:name w:val="Quote"/>
    <w:basedOn w:val="Heading1"/>
    <w:link w:val="QuoteChar"/>
    <w:qFormat/>
    <w:rsid w:val="00E77D28"/>
    <w:rPr>
      <w:b w:val="0"/>
      <w:sz w:val="72"/>
      <w:szCs w:val="72"/>
      <w:lang w:val="en-NZ"/>
    </w:rPr>
  </w:style>
  <w:style w:type="character" w:customStyle="1" w:styleId="QuoteChar">
    <w:name w:val="Quote Char"/>
    <w:basedOn w:val="DefaultParagraphFont"/>
    <w:link w:val="Quote"/>
    <w:rsid w:val="00E77D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7D28"/>
    <w:pPr>
      <w:pageBreakBefore/>
    </w:pPr>
  </w:style>
  <w:style w:type="paragraph" w:customStyle="1" w:styleId="Border">
    <w:name w:val="Border"/>
    <w:basedOn w:val="Normal"/>
    <w:qFormat/>
    <w:rsid w:val="00E77D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7D28"/>
    <w:rPr>
      <w:b/>
      <w:bCs/>
      <w:i/>
      <w:iCs/>
      <w:color w:val="auto"/>
    </w:rPr>
  </w:style>
  <w:style w:type="paragraph" w:styleId="IntenseQuote">
    <w:name w:val="Intense Quote"/>
    <w:basedOn w:val="Normal"/>
    <w:next w:val="Normal"/>
    <w:link w:val="IntenseQuoteChar"/>
    <w:uiPriority w:val="30"/>
    <w:qFormat/>
    <w:rsid w:val="00E77D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7D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7D28"/>
    <w:rPr>
      <w:smallCaps/>
      <w:color w:val="auto"/>
      <w:u w:val="single"/>
    </w:rPr>
  </w:style>
  <w:style w:type="character" w:styleId="IntenseReference">
    <w:name w:val="Intense Reference"/>
    <w:basedOn w:val="DefaultParagraphFont"/>
    <w:uiPriority w:val="32"/>
    <w:qFormat/>
    <w:rsid w:val="00E77D28"/>
    <w:rPr>
      <w:b/>
      <w:bCs/>
      <w:smallCaps/>
      <w:color w:val="auto"/>
      <w:spacing w:val="5"/>
      <w:u w:val="single"/>
    </w:rPr>
  </w:style>
  <w:style w:type="paragraph" w:customStyle="1" w:styleId="2ColumnHeading">
    <w:name w:val="2Column Heading"/>
    <w:basedOn w:val="BodyText"/>
    <w:qFormat/>
    <w:rsid w:val="00E77D28"/>
    <w:pPr>
      <w:spacing w:after="60"/>
      <w:ind w:left="-2268"/>
    </w:pPr>
    <w:rPr>
      <w:b/>
    </w:rPr>
  </w:style>
  <w:style w:type="paragraph" w:customStyle="1" w:styleId="Heading1TOC">
    <w:name w:val="Heading1 TOC"/>
    <w:basedOn w:val="Normal"/>
    <w:qFormat/>
    <w:rsid w:val="00E77D28"/>
    <w:pPr>
      <w:spacing w:before="240" w:after="120"/>
    </w:pPr>
    <w:rPr>
      <w:rFonts w:ascii="Times New Roman" w:hAnsi="Times New Roman"/>
      <w:b/>
      <w:sz w:val="32"/>
    </w:rPr>
  </w:style>
  <w:style w:type="paragraph" w:customStyle="1" w:styleId="Heading2TOC">
    <w:name w:val="Heading2 TOC"/>
    <w:basedOn w:val="Normal"/>
    <w:qFormat/>
    <w:rsid w:val="00E77D28"/>
    <w:pPr>
      <w:spacing w:before="240" w:after="60"/>
    </w:pPr>
    <w:rPr>
      <w:rFonts w:ascii="Times New Roman" w:hAnsi="Times New Roman"/>
      <w:b/>
      <w:sz w:val="28"/>
    </w:rPr>
  </w:style>
  <w:style w:type="character" w:customStyle="1" w:styleId="Underline">
    <w:name w:val="Underline"/>
    <w:basedOn w:val="DefaultParagraphFont"/>
    <w:qFormat/>
    <w:rsid w:val="00E77D28"/>
    <w:rPr>
      <w:u w:val="single"/>
    </w:rPr>
  </w:style>
  <w:style w:type="character" w:customStyle="1" w:styleId="BoldandItalics">
    <w:name w:val="Bold and Italics"/>
    <w:qFormat/>
    <w:rsid w:val="00E77D28"/>
    <w:rPr>
      <w:b/>
      <w:i/>
      <w:u w:val="none"/>
    </w:rPr>
  </w:style>
  <w:style w:type="paragraph" w:styleId="BalloonText">
    <w:name w:val="Balloon Text"/>
    <w:basedOn w:val="Normal"/>
    <w:link w:val="BalloonTextChar"/>
    <w:rsid w:val="00E77D28"/>
    <w:rPr>
      <w:rFonts w:ascii="Tahoma" w:hAnsi="Tahoma" w:cs="Tahoma"/>
      <w:sz w:val="16"/>
      <w:szCs w:val="16"/>
    </w:rPr>
  </w:style>
  <w:style w:type="character" w:customStyle="1" w:styleId="BalloonTextChar">
    <w:name w:val="Balloon Text Char"/>
    <w:basedOn w:val="DefaultParagraphFont"/>
    <w:link w:val="BalloonText"/>
    <w:rsid w:val="00E77D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7D2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7D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7D28"/>
    <w:rPr>
      <w:b/>
      <w:color w:val="660033"/>
      <w:spacing w:val="0"/>
    </w:rPr>
  </w:style>
  <w:style w:type="paragraph" w:customStyle="1" w:styleId="Nameditemlist">
    <w:name w:val="Named item list"/>
    <w:basedOn w:val="BodyText"/>
    <w:qFormat/>
    <w:rsid w:val="00E77D2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1067</Words>
  <Characters>6815</Characters>
  <Application>Microsoft Office Word</Application>
  <DocSecurity>0</DocSecurity>
  <Lines>283</Lines>
  <Paragraphs>131</Paragraphs>
  <ScaleCrop>false</ScaleCrop>
  <Company>Author-it Software Corporation Ltd.</Company>
  <LinksUpToDate>false</LinksUpToDate>
  <CharactersWithSpaces>7796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MSL954002 Prepare mineral samples for analysis</dc:title>
  <dc:subject>Approved</dc:subject>
  <dc:creator>Manufacturing Skills Australia</dc:creator>
  <cp:keywords>Release: 1</cp:keywords>
  <dc:description>Review Date: 12 April 2008</dc:description>
  <cp:lastModifiedBy>HSD_TPCMSd.prod</cp:lastModifiedBy>
  <cp:revision>3</cp:revision>
  <dcterms:created xsi:type="dcterms:W3CDTF">2016-03-01T06:19:00Z</dcterms:created>
  <dcterms:modified xsi:type="dcterms:W3CDTF">2016-03-01T06:19:00Z</dcterms:modified>
</cp:coreProperties>
</file>