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11C6" w:rsidP="004911C6">
      <w:pPr>
        <w:pStyle w:val="Title"/>
      </w:pPr>
      <w:r>
        <w:fldChar w:fldCharType="begin"/>
      </w:r>
      <w:r>
        <w:instrText xml:space="preserve"> TITLE   \* MERGEFORMAT </w:instrText>
      </w:r>
      <w:r>
        <w:fldChar w:fldCharType="separate"/>
      </w:r>
      <w:r>
        <w:t>MSL954002 Prepare mineral samples for analysis</w:t>
      </w:r>
      <w:r>
        <w:fldChar w:fldCharType="end"/>
      </w:r>
    </w:p>
    <w:p w:rsidR="004911C6" w:rsidP="004911C6">
      <w:pPr>
        <w:pStyle w:val="Version"/>
        <w:sectPr w:rsidSect="00C016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168B" w:rsidP="00C0168B">
      <w:pPr>
        <w:pStyle w:val="SuperHeading"/>
      </w:pPr>
      <w:r w:rsidRPr="00C0168B">
        <w:t>MSL954002 Prepare mineral samples for analysis</w:t>
      </w:r>
    </w:p>
    <w:p w:rsidR="00000000" w:rsidRPr="00C0168B" w:rsidP="00C0168B">
      <w:pPr>
        <w:pStyle w:val="Heading1"/>
      </w:pPr>
      <w:bookmarkStart w:id="1" w:name="O_902959"/>
      <w:bookmarkEnd w:id="1"/>
      <w:r w:rsidRPr="00C0168B">
        <w:t>Modification History</w:t>
      </w:r>
    </w:p>
    <w:p w:rsidR="00000000" w:rsidRPr="00C0168B" w:rsidP="004911C6">
      <w:pPr>
        <w:pStyle w:val="BodyText"/>
      </w:pPr>
      <w:r w:rsidRPr="00C0168B">
        <w:t xml:space="preserve">Release 1. Supersedes and is equivalent to MSL954002A Prepare mineral samples for analysis  </w:t>
      </w:r>
    </w:p>
    <w:p w:rsidR="00000000" w:rsidRPr="00C0168B" w:rsidP="00C0168B">
      <w:pPr>
        <w:pStyle w:val="Heading1"/>
      </w:pPr>
      <w:bookmarkStart w:id="2" w:name="O_902967"/>
      <w:bookmarkEnd w:id="2"/>
      <w:r w:rsidRPr="00C0168B">
        <w:t>Application</w:t>
      </w:r>
    </w:p>
    <w:p w:rsidR="00000000" w:rsidRPr="00C0168B" w:rsidP="004911C6">
      <w:pPr>
        <w:pStyle w:val="BodyText"/>
      </w:pPr>
      <w:r w:rsidRPr="00C0168B">
        <w:t>The unit of competency covers the ability to reduce given mineral samples to representative client sample</w:t>
      </w:r>
      <w:r w:rsidRPr="00C0168B">
        <w:t>s and analytical portions that meet client requirements for analysis. Personnel are also required to recognise problems and invalid preparation steps and take appropriate corrective actions.</w:t>
      </w:r>
    </w:p>
    <w:p w:rsidR="00000000" w:rsidRPr="00C0168B" w:rsidP="004911C6">
      <w:pPr>
        <w:pStyle w:val="BodyText"/>
      </w:pPr>
      <w:r w:rsidRPr="00C0168B">
        <w:t>This unit of competency is applicable to technical assistants wo</w:t>
      </w:r>
      <w:r w:rsidRPr="00C0168B">
        <w:t>rking in the mineral assay and construction materials testing sectors.</w:t>
      </w:r>
    </w:p>
    <w:p w:rsidR="00000000" w:rsidRPr="00C0168B" w:rsidP="004911C6">
      <w:pPr>
        <w:pStyle w:val="BodyText"/>
      </w:pPr>
      <w:r w:rsidRPr="00C0168B">
        <w:t xml:space="preserve">While no specific licensing or certification requirements apply to this unit at the time of publication, laboratory operations are governed by relevant legislation, regulations and/or </w:t>
      </w:r>
      <w:r w:rsidRPr="00C0168B">
        <w:t>external accreditation requirements. Local requirements should be checked.</w:t>
      </w:r>
    </w:p>
    <w:p w:rsidR="00000000" w:rsidRPr="00C0168B" w:rsidP="00C0168B">
      <w:pPr>
        <w:pStyle w:val="Heading1"/>
      </w:pPr>
      <w:bookmarkStart w:id="3" w:name="O_902966"/>
      <w:bookmarkEnd w:id="3"/>
      <w:r w:rsidRPr="00C0168B">
        <w:t>Pre-requisite Unit</w:t>
      </w:r>
    </w:p>
    <w:p w:rsidR="00000000" w:rsidRPr="00C0168B" w:rsidP="004911C6">
      <w:pPr>
        <w:pStyle w:val="BodyText"/>
      </w:pPr>
      <w:r w:rsidRPr="00C0168B">
        <w:t>Nil</w:t>
      </w:r>
    </w:p>
    <w:p w:rsidR="00000000" w:rsidRPr="00C0168B" w:rsidP="00C0168B">
      <w:pPr>
        <w:pStyle w:val="Heading1"/>
      </w:pPr>
      <w:bookmarkStart w:id="4" w:name="O_902965"/>
      <w:bookmarkEnd w:id="4"/>
      <w:r w:rsidRPr="00C0168B">
        <w:t>Competency Field</w:t>
      </w:r>
    </w:p>
    <w:p w:rsidR="00000000" w:rsidRPr="00C0168B" w:rsidP="004911C6">
      <w:pPr>
        <w:pStyle w:val="BodyText"/>
      </w:pPr>
      <w:r w:rsidRPr="00C0168B">
        <w:t>Sampling</w:t>
      </w:r>
    </w:p>
    <w:p w:rsidR="00000000" w:rsidRPr="00C0168B" w:rsidP="00C0168B">
      <w:pPr>
        <w:pStyle w:val="Heading1"/>
      </w:pPr>
      <w:bookmarkStart w:id="5" w:name="O_902964"/>
      <w:bookmarkEnd w:id="5"/>
      <w:r w:rsidRPr="00C0168B">
        <w:t>Unit Sector</w:t>
      </w:r>
    </w:p>
    <w:p w:rsidR="00000000" w:rsidRPr="00C0168B" w:rsidP="00C0168B">
      <w:pPr>
        <w:pStyle w:val="Heading1"/>
      </w:pPr>
      <w:bookmarkStart w:id="6" w:name="O_902963"/>
      <w:bookmarkEnd w:id="6"/>
      <w:r w:rsidRPr="00C0168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0168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Elements describe t</w:t>
            </w:r>
            <w:r w:rsidRPr="00C0168B">
              <w: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Performance criteria describe the performance needed to demonstrate achievement of the element.</w:t>
            </w:r>
          </w:p>
        </w:tc>
      </w:tr>
      <w:tr w:rsidTr="00C01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0168B" w:rsidP="00C0168B">
            <w:pPr>
              <w:pStyle w:val="BodyText"/>
            </w:pPr>
            <w:r w:rsidRPr="00C0168B">
              <w:t>1</w:t>
            </w:r>
          </w:p>
        </w:tc>
        <w:tc>
          <w:tcPr>
            <w:tcW w:w="1962" w:type="dxa"/>
            <w:vMerge w:val="restart"/>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rPr>
                <w:rStyle w:val="SpecialBold"/>
              </w:rPr>
              <w:t>Interpret and schedule client requirements</w:t>
            </w:r>
          </w:p>
        </w:tc>
        <w:tc>
          <w:tcPr>
            <w:tcW w:w="77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1.1</w:t>
            </w:r>
          </w:p>
        </w:tc>
        <w:tc>
          <w:tcPr>
            <w:tcW w:w="561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Review client request to identify sample/analysis requirements, preparation methods and equipment involved</w:t>
            </w:r>
          </w:p>
        </w:tc>
      </w:tr>
      <w:tr w:rsidTr="00C01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1.2</w:t>
            </w:r>
          </w:p>
        </w:tc>
        <w:tc>
          <w:tcPr>
            <w:tcW w:w="561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Inspect samples, compare with specifications, record and report any discrepancies</w:t>
            </w:r>
          </w:p>
        </w:tc>
      </w:tr>
      <w:tr w:rsidTr="00C01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1.3</w:t>
            </w:r>
          </w:p>
        </w:tc>
        <w:tc>
          <w:tcPr>
            <w:tcW w:w="561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Liaise with client when samples and/or request forms do not comply with workplace procedures</w:t>
            </w:r>
          </w:p>
        </w:tc>
      </w:tr>
      <w:tr w:rsidTr="00C01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1.4</w:t>
            </w:r>
          </w:p>
        </w:tc>
        <w:tc>
          <w:tcPr>
            <w:tcW w:w="561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Identify hazards, safety equipment and safe work procedures specified for the sample, preparation methods, reagents and equipment</w:t>
            </w:r>
          </w:p>
        </w:tc>
      </w:tr>
      <w:tr w:rsidTr="00C01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1.5</w:t>
            </w:r>
          </w:p>
        </w:tc>
        <w:tc>
          <w:tcPr>
            <w:tcW w:w="561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 xml:space="preserve">Plan parallel work </w:t>
            </w:r>
            <w:r w:rsidRPr="00C0168B">
              <w:t>sequences to optimise throughput of multiple sets of samples</w:t>
            </w:r>
          </w:p>
        </w:tc>
      </w:tr>
      <w:tr w:rsidTr="00C01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1.6</w:t>
            </w:r>
          </w:p>
        </w:tc>
        <w:tc>
          <w:tcPr>
            <w:tcW w:w="561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Assemble all required equipment materials, reagents and check they are fit for purpose</w:t>
            </w:r>
          </w:p>
        </w:tc>
      </w:tr>
      <w:tr w:rsidTr="00C016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0168B">
            <w:pPr>
              <w:pStyle w:val="BodyText"/>
              <w:rPr>
                <w:lang w:val="en-NZ"/>
              </w:rPr>
            </w:pPr>
          </w:p>
        </w:tc>
      </w:tr>
      <w:tr w:rsidTr="00C01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0168B" w:rsidP="00C0168B">
            <w:pPr>
              <w:pStyle w:val="BodyText"/>
            </w:pPr>
            <w:r w:rsidRPr="00C0168B">
              <w:t>2</w:t>
            </w:r>
          </w:p>
        </w:tc>
        <w:tc>
          <w:tcPr>
            <w:tcW w:w="1962" w:type="dxa"/>
            <w:vMerge w:val="restart"/>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rPr>
                <w:rStyle w:val="SpecialBold"/>
              </w:rPr>
              <w:t>Prepare client samples for analysis</w:t>
            </w:r>
          </w:p>
        </w:tc>
        <w:tc>
          <w:tcPr>
            <w:tcW w:w="77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2.1</w:t>
            </w:r>
          </w:p>
        </w:tc>
        <w:tc>
          <w:tcPr>
            <w:tcW w:w="561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Estimate safe times for the preparatio</w:t>
            </w:r>
            <w:r w:rsidRPr="00C0168B">
              <w:t>n of required sample portions</w:t>
            </w:r>
          </w:p>
        </w:tc>
      </w:tr>
      <w:tr w:rsidTr="00C01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2.2</w:t>
            </w:r>
          </w:p>
        </w:tc>
        <w:tc>
          <w:tcPr>
            <w:tcW w:w="561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Split samples to obtain representative sub-samples as required</w:t>
            </w:r>
          </w:p>
        </w:tc>
      </w:tr>
      <w:tr w:rsidTr="00C01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2.3</w:t>
            </w:r>
          </w:p>
        </w:tc>
        <w:tc>
          <w:tcPr>
            <w:tcW w:w="561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 xml:space="preserve">Safely operate comminution equipment </w:t>
            </w:r>
          </w:p>
        </w:tc>
      </w:tr>
      <w:tr w:rsidTr="00C01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2.4</w:t>
            </w:r>
          </w:p>
        </w:tc>
        <w:tc>
          <w:tcPr>
            <w:tcW w:w="561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Monitor texture of the samples as an indicator of particle size and adjust milling times accordingly</w:t>
            </w:r>
          </w:p>
        </w:tc>
      </w:tr>
      <w:tr w:rsidTr="00C01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2.5</w:t>
            </w:r>
          </w:p>
        </w:tc>
        <w:tc>
          <w:tcPr>
            <w:tcW w:w="561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Monitor sample compaction and build up of residues on equipment and rectify as necessary</w:t>
            </w:r>
          </w:p>
        </w:tc>
      </w:tr>
      <w:tr w:rsidTr="00C01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2.6</w:t>
            </w:r>
          </w:p>
        </w:tc>
        <w:tc>
          <w:tcPr>
            <w:tcW w:w="561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Record preparation difficulties that may impact on quality or cause additional client costs</w:t>
            </w:r>
          </w:p>
        </w:tc>
      </w:tr>
      <w:tr w:rsidTr="00C01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2.7</w:t>
            </w:r>
          </w:p>
        </w:tc>
        <w:tc>
          <w:tcPr>
            <w:tcW w:w="561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Report any departure from preparation methods or client specifications</w:t>
            </w:r>
          </w:p>
        </w:tc>
      </w:tr>
      <w:tr w:rsidTr="00C01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2.8</w:t>
            </w:r>
          </w:p>
        </w:tc>
        <w:tc>
          <w:tcPr>
            <w:tcW w:w="561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Label client samples and record chain of custody information</w:t>
            </w:r>
          </w:p>
        </w:tc>
      </w:tr>
      <w:tr w:rsidTr="00C01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2.9</w:t>
            </w:r>
          </w:p>
        </w:tc>
        <w:tc>
          <w:tcPr>
            <w:tcW w:w="561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 xml:space="preserve">Store all client samples in accordance with workplace procedures </w:t>
            </w:r>
          </w:p>
        </w:tc>
      </w:tr>
      <w:tr w:rsidTr="00C016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0168B">
            <w:pPr>
              <w:pStyle w:val="BodyText"/>
              <w:rPr>
                <w:lang w:val="en-NZ"/>
              </w:rPr>
            </w:pPr>
          </w:p>
        </w:tc>
      </w:tr>
      <w:tr w:rsidTr="00C01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0168B" w:rsidP="00C0168B">
            <w:pPr>
              <w:pStyle w:val="BodyText"/>
            </w:pPr>
            <w:r w:rsidRPr="00C0168B">
              <w:t>3</w:t>
            </w:r>
          </w:p>
        </w:tc>
        <w:tc>
          <w:tcPr>
            <w:tcW w:w="1962" w:type="dxa"/>
            <w:vMerge w:val="restart"/>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rPr>
                <w:rStyle w:val="SpecialBold"/>
              </w:rPr>
              <w:t xml:space="preserve">Use non-destructive methods to prepare laboratory </w:t>
            </w:r>
            <w:r w:rsidRPr="00C0168B">
              <w:rPr>
                <w:rStyle w:val="SpecialBold"/>
              </w:rPr>
              <w:t>portions for analysis</w:t>
            </w:r>
          </w:p>
        </w:tc>
        <w:tc>
          <w:tcPr>
            <w:tcW w:w="77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3.1</w:t>
            </w:r>
          </w:p>
        </w:tc>
        <w:tc>
          <w:tcPr>
            <w:tcW w:w="561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Examine the recommended preparation method to identify critical steps that will affect the quality of analytical results</w:t>
            </w:r>
          </w:p>
        </w:tc>
      </w:tr>
      <w:tr w:rsidTr="00C01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3.2</w:t>
            </w:r>
          </w:p>
        </w:tc>
        <w:tc>
          <w:tcPr>
            <w:tcW w:w="561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Closely follow each preparation step with particular</w:t>
            </w:r>
            <w:r w:rsidRPr="00C0168B">
              <w:t xml:space="preserve"> attention to safety, precision and minimisation of </w:t>
            </w:r>
            <w:r w:rsidRPr="00C0168B">
              <w:t>cross-contamination of samples</w:t>
            </w:r>
          </w:p>
        </w:tc>
      </w:tr>
      <w:tr w:rsidTr="00C01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3.3</w:t>
            </w:r>
          </w:p>
        </w:tc>
        <w:tc>
          <w:tcPr>
            <w:tcW w:w="561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Monitor parameters that indicate completion or failure of each preparation step</w:t>
            </w:r>
          </w:p>
        </w:tc>
      </w:tr>
      <w:tr w:rsidTr="00C01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3.4</w:t>
            </w:r>
          </w:p>
        </w:tc>
        <w:tc>
          <w:tcPr>
            <w:tcW w:w="561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Analyse and record invalid preparation steps and take corrective action before repeating the procedure</w:t>
            </w:r>
          </w:p>
        </w:tc>
      </w:tr>
      <w:tr w:rsidTr="00C01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3.5</w:t>
            </w:r>
          </w:p>
        </w:tc>
        <w:tc>
          <w:tcPr>
            <w:tcW w:w="561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Present laboratory portions for analysis in appropriate containers with all required chain of custody documentation</w:t>
            </w:r>
          </w:p>
        </w:tc>
      </w:tr>
      <w:tr w:rsidTr="00C016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0168B">
            <w:pPr>
              <w:pStyle w:val="BodyText"/>
              <w:rPr>
                <w:lang w:val="en-NZ"/>
              </w:rPr>
            </w:pPr>
          </w:p>
        </w:tc>
      </w:tr>
      <w:tr w:rsidTr="00C01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0168B" w:rsidP="00C0168B">
            <w:pPr>
              <w:pStyle w:val="BodyText"/>
            </w:pPr>
            <w:r w:rsidRPr="00C0168B">
              <w:t>4</w:t>
            </w:r>
          </w:p>
        </w:tc>
        <w:tc>
          <w:tcPr>
            <w:tcW w:w="1962" w:type="dxa"/>
            <w:vMerge w:val="restart"/>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4.1</w:t>
            </w:r>
          </w:p>
        </w:tc>
        <w:tc>
          <w:tcPr>
            <w:tcW w:w="561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Apply established safe work practices and use personal protective equipment (PPE) to ensure personal safety and that of other laboratory personnel</w:t>
            </w:r>
          </w:p>
        </w:tc>
      </w:tr>
      <w:tr w:rsidTr="00C01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4.2</w:t>
            </w:r>
          </w:p>
        </w:tc>
        <w:tc>
          <w:tcPr>
            <w:tcW w:w="561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Minimise the generation of waste and environmental impacts</w:t>
            </w:r>
          </w:p>
        </w:tc>
      </w:tr>
      <w:tr w:rsidTr="00C01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4.3</w:t>
            </w:r>
          </w:p>
        </w:tc>
        <w:tc>
          <w:tcPr>
            <w:tcW w:w="561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Ensure the safe disposal of all hazardous waste and spent/surplus samples</w:t>
            </w:r>
          </w:p>
        </w:tc>
      </w:tr>
      <w:tr w:rsidTr="00C01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4.4</w:t>
            </w:r>
          </w:p>
        </w:tc>
        <w:tc>
          <w:tcPr>
            <w:tcW w:w="5610" w:type="dxa"/>
            <w:tcBorders>
              <w:top w:val="nil"/>
              <w:left w:val="nil"/>
              <w:bottom w:val="nil"/>
              <w:right w:val="nil"/>
            </w:tcBorders>
            <w:tcMar>
              <w:top w:w="0" w:type="dxa"/>
              <w:left w:w="62" w:type="dxa"/>
              <w:bottom w:w="0" w:type="dxa"/>
              <w:right w:w="62" w:type="dxa"/>
            </w:tcMar>
          </w:tcPr>
          <w:p w:rsidR="00000000" w:rsidRPr="00C0168B" w:rsidP="00C0168B">
            <w:pPr>
              <w:pStyle w:val="BodyText"/>
            </w:pPr>
            <w:r w:rsidRPr="00C0168B">
              <w:t>Clean, care for and store equipment and reagents as required</w:t>
            </w:r>
          </w:p>
        </w:tc>
      </w:tr>
    </w:tbl>
    <w:p w:rsidR="00000000" w:rsidRPr="00C0168B" w:rsidP="00C0168B">
      <w:pPr>
        <w:pStyle w:val="BodyText"/>
      </w:pPr>
    </w:p>
    <w:p w:rsidR="00000000" w:rsidRPr="00C0168B" w:rsidP="00C0168B">
      <w:pPr>
        <w:pStyle w:val="AllowPageBreak"/>
      </w:pPr>
    </w:p>
    <w:p w:rsidR="00000000" w:rsidRPr="00C0168B" w:rsidP="00C0168B">
      <w:pPr>
        <w:pStyle w:val="Heading1"/>
      </w:pPr>
      <w:bookmarkStart w:id="7" w:name="O_902962"/>
      <w:bookmarkEnd w:id="7"/>
      <w:r w:rsidRPr="00C0168B">
        <w:t>Foundation Skills</w:t>
      </w:r>
    </w:p>
    <w:p w:rsidR="00000000" w:rsidRPr="00C0168B" w:rsidP="004911C6">
      <w:pPr>
        <w:pStyle w:val="BodyText"/>
      </w:pPr>
      <w:r w:rsidRPr="00C0168B">
        <w:t>This section describes those language, literacy, numeracy and employment ski</w:t>
      </w:r>
      <w:r w:rsidRPr="00C0168B">
        <w:t>lls that are essential to performance.</w:t>
      </w:r>
    </w:p>
    <w:p w:rsidR="00000000" w:rsidRPr="00C0168B" w:rsidP="004911C6">
      <w:pPr>
        <w:pStyle w:val="BodyText"/>
      </w:pPr>
      <w:r w:rsidRPr="00C0168B">
        <w:t>Foundation skills essential to performance are explicit in the performance criteria of this unit of competency.</w:t>
      </w:r>
    </w:p>
    <w:p w:rsidR="00000000" w:rsidRPr="00C0168B" w:rsidP="00C0168B">
      <w:pPr>
        <w:pStyle w:val="Heading1"/>
      </w:pPr>
      <w:bookmarkStart w:id="8" w:name="O_902961"/>
      <w:bookmarkEnd w:id="8"/>
      <w:r w:rsidRPr="00C0168B">
        <w:t>Range of Conditions</w:t>
      </w:r>
    </w:p>
    <w:tbl>
      <w:tblPr>
        <w:tblW w:w="0" w:type="auto"/>
        <w:tblCellMar>
          <w:left w:w="62" w:type="dxa"/>
          <w:right w:w="62" w:type="dxa"/>
        </w:tblCellMar>
        <w:tblLook w:val="0000"/>
      </w:tblPr>
      <w:tblGrid>
        <w:gridCol w:w="2319"/>
        <w:gridCol w:w="6877"/>
      </w:tblGrid>
      <w:tr w:rsidTr="004911C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t>This field allows for different work environments and conditions th</w:t>
            </w:r>
            <w:r w:rsidRPr="00C0168B">
              <w:t>at may affect performance. Essential operating conditions that may be present (depending on the work situation, needs of the candidate, accessibility of the item, and local industry and regional contexts) are included.</w:t>
            </w:r>
          </w:p>
        </w:tc>
      </w:tr>
      <w:tr w:rsidTr="004911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C0168B" w:rsidP="00C0168B">
            <w:pPr>
              <w:pStyle w:val="BodyText"/>
            </w:pPr>
            <w:r w:rsidRPr="00C0168B">
              <w:t>Standards, codes, procedures and/or workplace requirements include the latest version of one or more of:</w:t>
            </w:r>
          </w:p>
          <w:p w:rsidR="00000000" w:rsidRPr="00C0168B" w:rsidP="00C0168B">
            <w:pPr>
              <w:pStyle w:val="ListBullet"/>
            </w:pPr>
            <w:r w:rsidRPr="00C0168B">
              <w:t>Australian and international standards covering the requirements for the competence of tes</w:t>
            </w:r>
            <w:r w:rsidRPr="00C0168B">
              <w:t>ting and calibration laboratories; laboratory safety; quality and environmental management; sampling of specific ores and particulate materials; and labelling, storage, handling and transport of hazardous materials</w:t>
            </w:r>
          </w:p>
          <w:p w:rsidR="00000000" w:rsidRPr="00C0168B" w:rsidP="00C0168B">
            <w:pPr>
              <w:pStyle w:val="ListBullet"/>
            </w:pPr>
            <w:r w:rsidRPr="00C0168B">
              <w:t>national work health and safety (WHS) sta</w:t>
            </w:r>
            <w:r w:rsidRPr="00C0168B">
              <w:t>ndards and codes of practice, national environmental protection measures, and national measurement regulations and guidelines</w:t>
            </w:r>
          </w:p>
          <w:p w:rsidR="00000000" w:rsidRPr="00C0168B" w:rsidP="00C0168B">
            <w:pPr>
              <w:pStyle w:val="ListBullet"/>
            </w:pPr>
            <w:r w:rsidRPr="00C0168B">
              <w:t>specific codes, guidelines and procedures, such as National Association of Testing Authorities (NATA) accreditation requirements a</w:t>
            </w:r>
            <w:r w:rsidRPr="00C0168B">
              <w:t>nd principles of good laboratory practice (GLP)</w:t>
            </w:r>
          </w:p>
          <w:p w:rsidR="00000000" w:rsidRPr="00C0168B" w:rsidP="00C0168B">
            <w:pPr>
              <w:pStyle w:val="ListBullet"/>
            </w:pPr>
            <w:r w:rsidRPr="00C0168B">
              <w:t>workplace documents, such as standard operating procedures (SOPs); quality and equipment manuals; maintenance schedules; material safety data sheets (MSDS); safety procedures; material, production and product</w:t>
            </w:r>
            <w:r w:rsidRPr="00C0168B">
              <w:t xml:space="preserve"> specifications; production and laboratory schedules; workplace recording and reporting procedures; and waste minimisation and safe disposal procedures</w:t>
            </w:r>
          </w:p>
          <w:p w:rsidR="00000000" w:rsidRPr="00C0168B" w:rsidP="00C0168B">
            <w:pPr>
              <w:pStyle w:val="ListBullet"/>
            </w:pPr>
            <w:r w:rsidRPr="00C0168B">
              <w:t xml:space="preserve">sampling procedures for specific samples, sites and clients (labelling, preparation, storage, transport </w:t>
            </w:r>
            <w:r w:rsidRPr="00C0168B">
              <w:t>and disposal), and published preparation methods</w:t>
            </w:r>
          </w:p>
          <w:p w:rsidR="00000000" w:rsidP="00C0168B">
            <w:pPr>
              <w:pStyle w:val="BodyText"/>
              <w:rPr>
                <w:lang w:val="en-NZ"/>
              </w:rPr>
            </w:pPr>
          </w:p>
        </w:tc>
      </w:tr>
      <w:tr w:rsidTr="004911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rPr>
                <w:rStyle w:val="SpecialBold"/>
              </w:rPr>
              <w:t>Materials sampled</w:t>
            </w:r>
          </w:p>
        </w:tc>
        <w:tc>
          <w:tcPr>
            <w:tcW w:w="0" w:type="auto"/>
            <w:tcBorders>
              <w:top w:val="nil"/>
              <w:left w:val="nil"/>
              <w:bottom w:val="nil"/>
              <w:right w:val="nil"/>
            </w:tcBorders>
            <w:tcMar>
              <w:top w:w="0" w:type="dxa"/>
              <w:left w:w="62" w:type="dxa"/>
              <w:bottom w:w="0" w:type="dxa"/>
              <w:right w:w="62" w:type="dxa"/>
            </w:tcMar>
          </w:tcPr>
          <w:p w:rsidR="00000000" w:rsidRPr="00C0168B" w:rsidP="00C0168B">
            <w:pPr>
              <w:pStyle w:val="BodyText"/>
            </w:pPr>
            <w:r w:rsidRPr="00C0168B">
              <w:t>Materials sampled include, but are not limited to, one or more of:</w:t>
            </w:r>
          </w:p>
          <w:p w:rsidR="00000000" w:rsidRPr="00C0168B" w:rsidP="00C0168B">
            <w:pPr>
              <w:pStyle w:val="ListBullet"/>
            </w:pPr>
            <w:r w:rsidRPr="00C0168B">
              <w:t>solids, such as rocks, minerals, soils, sands and stream sediments</w:t>
            </w:r>
          </w:p>
          <w:p w:rsidR="00000000" w:rsidRPr="00C0168B" w:rsidP="00C0168B">
            <w:pPr>
              <w:pStyle w:val="ListBullet"/>
            </w:pPr>
            <w:r w:rsidRPr="00C0168B">
              <w:t>pulverised core and other drill samples, such as rotary air blast (RAB), reverse circulation (RC) and aircore samples</w:t>
            </w:r>
          </w:p>
          <w:p w:rsidR="00000000" w:rsidRPr="00C0168B" w:rsidP="00C0168B">
            <w:pPr>
              <w:pStyle w:val="ListBullet"/>
            </w:pPr>
            <w:r w:rsidRPr="00C0168B">
              <w:t>powder concentrates</w:t>
            </w:r>
          </w:p>
          <w:p w:rsidR="00000000" w:rsidRPr="00C0168B" w:rsidP="00C0168B">
            <w:pPr>
              <w:pStyle w:val="ListBullet"/>
            </w:pPr>
            <w:r w:rsidRPr="00C0168B">
              <w:t>dump samples and grab samples</w:t>
            </w:r>
          </w:p>
          <w:p w:rsidR="00000000" w:rsidP="00C0168B">
            <w:pPr>
              <w:pStyle w:val="BodyText"/>
              <w:rPr>
                <w:lang w:val="en-NZ"/>
              </w:rPr>
            </w:pPr>
          </w:p>
        </w:tc>
      </w:tr>
      <w:tr w:rsidTr="004911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rPr>
                <w:rStyle w:val="SpecialBold"/>
              </w:rPr>
              <w:t>Sample preparation methods</w:t>
            </w:r>
          </w:p>
        </w:tc>
        <w:tc>
          <w:tcPr>
            <w:tcW w:w="0" w:type="auto"/>
            <w:tcBorders>
              <w:top w:val="nil"/>
              <w:left w:val="nil"/>
              <w:bottom w:val="nil"/>
              <w:right w:val="nil"/>
            </w:tcBorders>
            <w:tcMar>
              <w:top w:w="0" w:type="dxa"/>
              <w:left w:w="62" w:type="dxa"/>
              <w:bottom w:w="0" w:type="dxa"/>
              <w:right w:w="62" w:type="dxa"/>
            </w:tcMar>
          </w:tcPr>
          <w:p w:rsidR="00000000" w:rsidRPr="00C0168B" w:rsidP="00C0168B">
            <w:pPr>
              <w:pStyle w:val="BodyText"/>
            </w:pPr>
            <w:r w:rsidRPr="00C0168B">
              <w:t>Sample preparation methods include one or more of:</w:t>
            </w:r>
          </w:p>
          <w:p w:rsidR="00000000" w:rsidRPr="00C0168B" w:rsidP="00C0168B">
            <w:pPr>
              <w:pStyle w:val="ListBullet"/>
            </w:pPr>
            <w:r w:rsidRPr="00C0168B">
              <w:t>sorting</w:t>
            </w:r>
            <w:r w:rsidRPr="00C0168B">
              <w:t xml:space="preserve">, boxing and drying </w:t>
            </w:r>
          </w:p>
          <w:p w:rsidR="00000000" w:rsidRPr="00C0168B" w:rsidP="00C0168B">
            <w:pPr>
              <w:pStyle w:val="ListBullet"/>
            </w:pPr>
            <w:r w:rsidRPr="00C0168B">
              <w:t>sieving</w:t>
            </w:r>
          </w:p>
          <w:p w:rsidR="00000000" w:rsidRPr="00C0168B" w:rsidP="00C0168B">
            <w:pPr>
              <w:pStyle w:val="ListBullet"/>
            </w:pPr>
            <w:r w:rsidRPr="00C0168B">
              <w:t>primary crushing (e.g. 10 mm, 2 mm)</w:t>
            </w:r>
          </w:p>
          <w:p w:rsidR="00000000" w:rsidRPr="00C0168B" w:rsidP="00C0168B">
            <w:pPr>
              <w:pStyle w:val="ListBullet"/>
            </w:pPr>
            <w:r w:rsidRPr="00C0168B">
              <w:t>fine pulverising (e.g. 100 micron, 75 micron)</w:t>
            </w:r>
          </w:p>
          <w:p w:rsidR="00000000" w:rsidRPr="00C0168B" w:rsidP="00C0168B">
            <w:pPr>
              <w:pStyle w:val="ListBullet"/>
            </w:pPr>
            <w:r w:rsidRPr="00C0168B">
              <w:t>partial digestion requiring separation (e.g. aqua regia)</w:t>
            </w:r>
          </w:p>
          <w:p w:rsidR="00000000" w:rsidRPr="00C0168B" w:rsidP="00C0168B">
            <w:pPr>
              <w:pStyle w:val="ListBullet"/>
            </w:pPr>
            <w:r w:rsidRPr="00C0168B">
              <w:t>complete digestion (e.g. multi-acid digest)</w:t>
            </w:r>
          </w:p>
          <w:p w:rsidR="00000000" w:rsidRPr="00C0168B" w:rsidP="00C0168B">
            <w:pPr>
              <w:pStyle w:val="ListBullet"/>
            </w:pPr>
            <w:r w:rsidRPr="00C0168B">
              <w:t>non-destructive (e.g. LIF, Li2B4O7 disks)</w:t>
            </w:r>
          </w:p>
          <w:p w:rsidR="00000000" w:rsidRPr="00C0168B" w:rsidP="00C0168B">
            <w:pPr>
              <w:pStyle w:val="ListBullet"/>
            </w:pPr>
            <w:r w:rsidRPr="00C0168B">
              <w:t>solvent extraction (e.g. di isobutyl ketone dibK)</w:t>
            </w:r>
          </w:p>
          <w:p w:rsidR="00000000" w:rsidP="00C0168B">
            <w:pPr>
              <w:pStyle w:val="BodyText"/>
              <w:rPr>
                <w:lang w:val="en-NZ"/>
              </w:rPr>
            </w:pPr>
          </w:p>
        </w:tc>
      </w:tr>
      <w:tr w:rsidTr="004911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0168B" w:rsidP="00C0168B">
            <w:pPr>
              <w:pStyle w:val="BodyText"/>
            </w:pPr>
            <w:r w:rsidRPr="00C0168B">
              <w:t>Hazards include, but are not limited to, one or more of:</w:t>
            </w:r>
          </w:p>
          <w:p w:rsidR="00000000" w:rsidRPr="00C0168B" w:rsidP="00C0168B">
            <w:pPr>
              <w:pStyle w:val="ListBullet"/>
            </w:pPr>
            <w:r w:rsidRPr="00C0168B">
              <w:t>dust, silica and fibrous materials</w:t>
            </w:r>
          </w:p>
          <w:p w:rsidR="00000000" w:rsidRPr="00C0168B" w:rsidP="00C0168B">
            <w:pPr>
              <w:pStyle w:val="ListBullet"/>
            </w:pPr>
            <w:r w:rsidRPr="00C0168B">
              <w:t>asbestiform minerals</w:t>
            </w:r>
          </w:p>
          <w:p w:rsidR="00000000" w:rsidRPr="00C0168B" w:rsidP="00C0168B">
            <w:pPr>
              <w:pStyle w:val="ListBullet"/>
            </w:pPr>
            <w:r w:rsidRPr="00C0168B">
              <w:t>chemicals, such as hydrofluoric acid, bromine, perchloric acid, aqua regia and cya</w:t>
            </w:r>
            <w:r w:rsidRPr="00C0168B">
              <w:t>nide</w:t>
            </w:r>
          </w:p>
          <w:p w:rsidR="00000000" w:rsidRPr="00C0168B" w:rsidP="00C0168B">
            <w:pPr>
              <w:pStyle w:val="ListBullet"/>
            </w:pPr>
            <w:r w:rsidRPr="00C0168B">
              <w:t>lead-based compounds, free-mercury and nickel compounds</w:t>
            </w:r>
          </w:p>
          <w:p w:rsidR="00000000" w:rsidRPr="00C0168B" w:rsidP="00C0168B">
            <w:pPr>
              <w:pStyle w:val="ListBullet"/>
            </w:pPr>
            <w:r w:rsidRPr="00C0168B">
              <w:t>noise and vibration</w:t>
            </w:r>
          </w:p>
          <w:p w:rsidR="00000000" w:rsidRPr="00C0168B" w:rsidP="00C0168B">
            <w:pPr>
              <w:pStyle w:val="ListBullet"/>
            </w:pPr>
            <w:r w:rsidRPr="00C0168B">
              <w:t>crushing, entanglement and cuts associated with moving machinery</w:t>
            </w:r>
          </w:p>
          <w:p w:rsidR="00000000" w:rsidRPr="00C0168B" w:rsidP="00C0168B">
            <w:pPr>
              <w:pStyle w:val="ListBullet"/>
            </w:pPr>
            <w:r w:rsidRPr="00C0168B">
              <w:t>manual handling of heavy loads, such as sample bags, containers, racks and trolleys</w:t>
            </w:r>
          </w:p>
          <w:p w:rsidR="00000000" w:rsidRPr="00C0168B" w:rsidP="00C0168B">
            <w:pPr>
              <w:pStyle w:val="ListBullet"/>
            </w:pPr>
            <w:r w:rsidRPr="00C0168B">
              <w:t>heat exhaustion/stress and fatigue</w:t>
            </w:r>
          </w:p>
          <w:p w:rsidR="00000000" w:rsidP="00C0168B">
            <w:pPr>
              <w:pStyle w:val="BodyText"/>
              <w:rPr>
                <w:lang w:val="en-NZ"/>
              </w:rPr>
            </w:pPr>
          </w:p>
        </w:tc>
      </w:tr>
      <w:tr w:rsidTr="004911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rPr>
                <w:rStyle w:val="SpecialBold"/>
              </w:rPr>
              <w:t>Safe work procedures</w:t>
            </w:r>
          </w:p>
        </w:tc>
        <w:tc>
          <w:tcPr>
            <w:tcW w:w="0" w:type="auto"/>
            <w:tcBorders>
              <w:top w:val="nil"/>
              <w:left w:val="nil"/>
              <w:bottom w:val="nil"/>
              <w:right w:val="nil"/>
            </w:tcBorders>
            <w:tcMar>
              <w:top w:w="0" w:type="dxa"/>
              <w:left w:w="62" w:type="dxa"/>
              <w:bottom w:w="0" w:type="dxa"/>
              <w:right w:w="62" w:type="dxa"/>
            </w:tcMar>
          </w:tcPr>
          <w:p w:rsidR="00000000" w:rsidRPr="00C0168B" w:rsidP="00C0168B">
            <w:pPr>
              <w:pStyle w:val="BodyText"/>
            </w:pPr>
            <w:r w:rsidRPr="00C0168B">
              <w:t>Safe work practices include, but are not limited to, one or more of:</w:t>
            </w:r>
          </w:p>
          <w:p w:rsidR="00000000" w:rsidRPr="00C0168B" w:rsidP="00C0168B">
            <w:pPr>
              <w:pStyle w:val="ListBullet"/>
            </w:pPr>
            <w:r w:rsidRPr="00C0168B">
              <w:t>ensuring access to service shut-off points</w:t>
            </w:r>
          </w:p>
          <w:p w:rsidR="00000000" w:rsidRPr="00C0168B" w:rsidP="00C0168B">
            <w:pPr>
              <w:pStyle w:val="ListBullet"/>
            </w:pPr>
            <w:r w:rsidRPr="00C0168B">
              <w:t>recognising and observing hazard warnings and safety signs</w:t>
            </w:r>
          </w:p>
          <w:p w:rsidR="00000000" w:rsidRPr="00C0168B" w:rsidP="00C0168B">
            <w:pPr>
              <w:pStyle w:val="ListBullet"/>
            </w:pPr>
            <w:r w:rsidRPr="00C0168B">
              <w:t>labelling of samples and h</w:t>
            </w:r>
            <w:r w:rsidRPr="00C0168B">
              <w:t>azardous materials</w:t>
            </w:r>
          </w:p>
          <w:p w:rsidR="00000000" w:rsidRPr="00C0168B" w:rsidP="00C0168B">
            <w:pPr>
              <w:pStyle w:val="ListBullet"/>
            </w:pPr>
            <w:r w:rsidRPr="00C0168B">
              <w:t>using direct extraction and fume hoods</w:t>
            </w:r>
          </w:p>
          <w:p w:rsidR="00000000" w:rsidRPr="00C0168B" w:rsidP="00C0168B">
            <w:pPr>
              <w:pStyle w:val="ListBullet"/>
            </w:pPr>
            <w:r w:rsidRPr="00C0168B">
              <w:t>using guards for moving machinery parts</w:t>
            </w:r>
          </w:p>
          <w:p w:rsidR="00000000" w:rsidRPr="00C0168B" w:rsidP="00C0168B">
            <w:pPr>
              <w:pStyle w:val="ListBullet"/>
            </w:pPr>
            <w:r w:rsidRPr="00C0168B">
              <w:t>providing noise insulation</w:t>
            </w:r>
          </w:p>
          <w:p w:rsidR="00000000" w:rsidRPr="00C0168B" w:rsidP="00C0168B">
            <w:pPr>
              <w:pStyle w:val="ListBullet"/>
            </w:pPr>
            <w:r w:rsidRPr="00C0168B">
              <w:t>following established manual handling procedures</w:t>
            </w:r>
          </w:p>
          <w:p w:rsidR="00000000" w:rsidRPr="00C0168B" w:rsidP="00C0168B">
            <w:pPr>
              <w:pStyle w:val="ListBullet"/>
            </w:pPr>
            <w:r w:rsidRPr="00C0168B">
              <w:t>regularly cleaning equipment and work areas using workplace procedures</w:t>
            </w:r>
          </w:p>
          <w:p w:rsidR="00000000" w:rsidRPr="00C0168B" w:rsidP="00C0168B">
            <w:pPr>
              <w:pStyle w:val="ListBullet"/>
            </w:pPr>
            <w:r w:rsidRPr="00C0168B">
              <w:t>reporting of abnormal emissions and airborne contaminants to appropriate personnel</w:t>
            </w:r>
          </w:p>
          <w:p w:rsidR="00000000" w:rsidRPr="00C0168B" w:rsidP="00C0168B">
            <w:pPr>
              <w:pStyle w:val="ListBullet"/>
            </w:pPr>
            <w:r w:rsidRPr="00C0168B">
              <w:t>using PPE, such as masks, gloves, boots, goggles, coats, ear muffs and safety boots</w:t>
            </w:r>
          </w:p>
          <w:p w:rsidR="00000000" w:rsidP="00C0168B">
            <w:pPr>
              <w:pStyle w:val="BodyText"/>
              <w:rPr>
                <w:lang w:val="en-NZ"/>
              </w:rPr>
            </w:pPr>
          </w:p>
        </w:tc>
      </w:tr>
      <w:tr w:rsidTr="004911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68B">
            <w:pPr>
              <w:pStyle w:val="BodyText"/>
              <w:rPr>
                <w:lang w:val="en-NZ"/>
              </w:rPr>
            </w:pPr>
            <w:r w:rsidRPr="00C0168B">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C0168B" w:rsidP="00C0168B">
            <w:pPr>
              <w:pStyle w:val="BodyText"/>
            </w:pPr>
            <w:r w:rsidRPr="00C0168B">
              <w:t>WHS and environmental management require</w:t>
            </w:r>
            <w:r w:rsidRPr="00C0168B">
              <w:t>ments include:</w:t>
            </w:r>
          </w:p>
          <w:p w:rsidR="00000000" w:rsidRPr="00C0168B" w:rsidP="00C0168B">
            <w:pPr>
              <w:pStyle w:val="BodyText"/>
            </w:pPr>
            <w:r w:rsidRPr="00C0168B">
              <w:rPr>
                <w:rStyle w:val="Symbols"/>
              </w:rPr>
              <w:t></w:t>
            </w:r>
            <w:r w:rsidRPr="00C0168B">
              <w:rPr>
                <w:rStyle w:val="Symbols"/>
              </w:rPr>
              <w:tab/>
            </w:r>
            <w:r w:rsidRPr="00C0168B">
              <w:t>complying with WHS and environmental management requirements at all times, which may be imposed through state/territory or federal legislation. These requirements must not be compromised at any time</w:t>
            </w:r>
          </w:p>
          <w:p w:rsidR="00000000" w:rsidRPr="00C0168B" w:rsidP="00C0168B">
            <w:pPr>
              <w:pStyle w:val="BodyText"/>
            </w:pPr>
            <w:r w:rsidRPr="00C0168B">
              <w:rPr>
                <w:rStyle w:val="Symbols"/>
              </w:rPr>
              <w:t></w:t>
            </w:r>
            <w:r w:rsidRPr="00C0168B">
              <w:rPr>
                <w:rStyle w:val="Symbols"/>
              </w:rPr>
              <w:tab/>
            </w:r>
            <w:r w:rsidRPr="00C0168B">
              <w:t>app</w:t>
            </w:r>
            <w:r w:rsidRPr="00C0168B">
              <w:t>lying standard precautions relating to the potentially hazardous nature of samples</w:t>
            </w:r>
          </w:p>
          <w:p w:rsidR="00000000" w:rsidRPr="00C0168B" w:rsidP="00C0168B">
            <w:pPr>
              <w:pStyle w:val="BodyText"/>
            </w:pPr>
          </w:p>
        </w:tc>
      </w:tr>
    </w:tbl>
    <w:p w:rsidR="00000000" w:rsidRPr="00C0168B" w:rsidP="00C0168B">
      <w:pPr>
        <w:pStyle w:val="BodyText"/>
      </w:pPr>
    </w:p>
    <w:p w:rsidR="00000000" w:rsidRPr="00C0168B" w:rsidP="00C0168B">
      <w:pPr>
        <w:pStyle w:val="AllowPageBreak"/>
      </w:pPr>
    </w:p>
    <w:p w:rsidR="00000000" w:rsidRPr="00C0168B" w:rsidP="00C0168B">
      <w:pPr>
        <w:pStyle w:val="Heading1"/>
      </w:pPr>
      <w:bookmarkStart w:id="9" w:name="O_902960"/>
      <w:bookmarkEnd w:id="9"/>
      <w:r w:rsidRPr="00C0168B">
        <w:t>Unit Mapping Information</w:t>
      </w:r>
    </w:p>
    <w:p w:rsidR="00000000" w:rsidRPr="00C0168B" w:rsidP="004911C6">
      <w:pPr>
        <w:pStyle w:val="BodyText"/>
      </w:pPr>
      <w:r w:rsidRPr="00C0168B">
        <w:t xml:space="preserve">Release 1. Supersedes and is equivalent to MSL954002A Prepare mineral samples for analysis  </w:t>
      </w:r>
    </w:p>
    <w:p w:rsidR="00000000" w:rsidRPr="00C0168B" w:rsidP="00C0168B">
      <w:pPr>
        <w:pStyle w:val="Heading1"/>
      </w:pPr>
      <w:bookmarkStart w:id="10" w:name="O_902953"/>
      <w:bookmarkEnd w:id="10"/>
      <w:r w:rsidRPr="00C0168B">
        <w:t>Links</w:t>
      </w:r>
    </w:p>
    <w:p w:rsidR="00000000" w:rsidRPr="00C0168B" w:rsidP="004911C6">
      <w:pPr>
        <w:pStyle w:val="BodyText"/>
      </w:pPr>
      <w:r w:rsidRPr="00C0168B">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307E98">
        <w:rPr>
          <w:rStyle w:val="Hyperlink"/>
        </w:rPr>
        <w:t>https://vetnet.gov.au/Pages/TrainingDocs.aspx?q=5c63a03b-4a6b-4ae5-9560-1e3c5f462baa</w:t>
      </w:r>
      <w:r>
        <w:fldChar w:fldCharType="end"/>
      </w:r>
    </w:p>
    <w:p w:rsidR="00000000" w:rsidRPr="00C0168B" w:rsidP="004911C6">
      <w:pPr>
        <w:pStyle w:val="BodyText"/>
        <w:sectPr w:rsidSect="00C0168B">
          <w:headerReference w:type="default" r:id="rId10"/>
          <w:footerReference w:type="default" r:id="rId11"/>
          <w:pgSz w:w="11908" w:h="16833"/>
          <w:pgMar w:top="1702" w:right="1418" w:bottom="1702" w:left="1418" w:header="992" w:footer="992" w:gutter="0"/>
          <w:cols w:space="720"/>
          <w:noEndnote/>
          <w:docGrid w:linePitch="299"/>
        </w:sectPr>
      </w:pPr>
    </w:p>
    <w:p w:rsidR="00000000" w:rsidRPr="00C0168B" w:rsidP="00C0168B">
      <w:pPr>
        <w:pStyle w:val="SuperHeading"/>
      </w:pPr>
      <w:r w:rsidRPr="00C0168B">
        <w:t>Assessment Requirements for MSL954002 Prepare mineral samples f</w:t>
      </w:r>
      <w:r w:rsidRPr="00C0168B">
        <w:t>or analysis</w:t>
      </w:r>
    </w:p>
    <w:p w:rsidR="00000000" w:rsidRPr="00C0168B" w:rsidP="00C0168B">
      <w:pPr>
        <w:pStyle w:val="Heading1"/>
      </w:pPr>
      <w:bookmarkStart w:id="11" w:name="O_902955"/>
      <w:bookmarkEnd w:id="11"/>
      <w:r w:rsidRPr="00C0168B">
        <w:t>Modification History</w:t>
      </w:r>
    </w:p>
    <w:p w:rsidR="00000000" w:rsidRPr="00C0168B" w:rsidP="004911C6">
      <w:pPr>
        <w:pStyle w:val="BodyText"/>
      </w:pPr>
      <w:r w:rsidRPr="00C0168B">
        <w:t xml:space="preserve">Release 1. Supersedes and is equivalent to MSL954002A Prepare mineral samples for analysis  </w:t>
      </w:r>
    </w:p>
    <w:p w:rsidR="00000000" w:rsidRPr="00C0168B" w:rsidP="00C0168B">
      <w:pPr>
        <w:pStyle w:val="Heading1"/>
      </w:pPr>
      <w:bookmarkStart w:id="12" w:name="O_902958"/>
      <w:bookmarkEnd w:id="12"/>
      <w:r w:rsidRPr="00C0168B">
        <w:t>Performance Evidence</w:t>
      </w:r>
    </w:p>
    <w:p w:rsidR="00000000" w:rsidRPr="00C0168B" w:rsidP="004911C6">
      <w:pPr>
        <w:pStyle w:val="BodyText"/>
      </w:pPr>
      <w:r w:rsidRPr="00C0168B">
        <w:t xml:space="preserve">Evidence of competence in this unit must satisfy all of the requirements of </w:t>
      </w:r>
      <w:r w:rsidRPr="00C0168B">
        <w:t>the elements and performance criteria, and include demonstration of:</w:t>
      </w:r>
    </w:p>
    <w:p w:rsidR="00000000" w:rsidRPr="00C0168B" w:rsidP="00C0168B">
      <w:pPr>
        <w:pStyle w:val="ListBullet"/>
      </w:pPr>
      <w:r w:rsidRPr="00C0168B">
        <w:t>safely reducing at least three (3) types of mineral samples to representative samples and preparing analytical portions of each that meet client requirements for analysis:</w:t>
      </w:r>
    </w:p>
    <w:p w:rsidR="00000000" w:rsidRPr="00C0168B" w:rsidP="00C0168B">
      <w:pPr>
        <w:pStyle w:val="ListBullet"/>
      </w:pPr>
      <w:r w:rsidRPr="00C0168B">
        <w:t>representative</w:t>
      </w:r>
    </w:p>
    <w:p w:rsidR="00000000" w:rsidRPr="00C0168B" w:rsidP="00C0168B">
      <w:pPr>
        <w:pStyle w:val="ListBullet"/>
      </w:pPr>
      <w:r w:rsidRPr="00C0168B">
        <w:t>free of contamination</w:t>
      </w:r>
    </w:p>
    <w:p w:rsidR="00000000" w:rsidRPr="00C0168B" w:rsidP="00C0168B">
      <w:pPr>
        <w:pStyle w:val="ListBullet"/>
      </w:pPr>
      <w:r w:rsidRPr="00C0168B">
        <w:t>of specified quantity and particle size</w:t>
      </w:r>
    </w:p>
    <w:p w:rsidR="00000000" w:rsidRPr="00C0168B" w:rsidP="00C0168B">
      <w:pPr>
        <w:pStyle w:val="ListBullet"/>
      </w:pPr>
      <w:r w:rsidRPr="00C0168B">
        <w:t>ready for analysis</w:t>
      </w:r>
    </w:p>
    <w:p w:rsidR="00000000" w:rsidRPr="00C0168B" w:rsidP="00C0168B">
      <w:pPr>
        <w:pStyle w:val="ListBullet"/>
      </w:pPr>
      <w:r w:rsidRPr="00C0168B">
        <w:t>interpreting and closely following preparation methods</w:t>
      </w:r>
    </w:p>
    <w:p w:rsidR="00000000" w:rsidRPr="00C0168B" w:rsidP="00C0168B">
      <w:pPr>
        <w:pStyle w:val="ListBullet"/>
      </w:pPr>
      <w:r w:rsidRPr="00C0168B">
        <w:t>achieving the required sample throughput</w:t>
      </w:r>
    </w:p>
    <w:p w:rsidR="00000000" w:rsidRPr="00C0168B" w:rsidP="00C0168B">
      <w:pPr>
        <w:pStyle w:val="ListBullet"/>
      </w:pPr>
      <w:r w:rsidRPr="00C0168B">
        <w:t>recognising problems and invalid preparation steps and takin</w:t>
      </w:r>
      <w:r w:rsidRPr="00C0168B">
        <w:t>g appropriate corrective actions</w:t>
      </w:r>
    </w:p>
    <w:p w:rsidR="00000000" w:rsidRPr="00C0168B" w:rsidP="00C0168B">
      <w:pPr>
        <w:pStyle w:val="ListBullet"/>
      </w:pPr>
      <w:r w:rsidRPr="00C0168B">
        <w:t>recognising limitations and seeking timely advice</w:t>
      </w:r>
    </w:p>
    <w:p w:rsidR="00000000" w:rsidRPr="00C0168B" w:rsidP="00C0168B">
      <w:pPr>
        <w:pStyle w:val="ListBullet"/>
      </w:pPr>
      <w:r w:rsidRPr="00C0168B">
        <w:t>minimising rework, waste and environmental impact</w:t>
      </w:r>
    </w:p>
    <w:p w:rsidR="00000000" w:rsidRPr="00C0168B" w:rsidP="00C0168B">
      <w:pPr>
        <w:pStyle w:val="ListBullet"/>
      </w:pPr>
      <w:r w:rsidRPr="00C0168B">
        <w:t>completing preparation and production documentation accurately</w:t>
      </w:r>
    </w:p>
    <w:p w:rsidR="00000000" w:rsidRPr="00C0168B" w:rsidP="00C0168B">
      <w:pPr>
        <w:pStyle w:val="ListBullet"/>
      </w:pPr>
      <w:r w:rsidRPr="00C0168B">
        <w:t>maintaining equipment/reagents and disposing of all waste, s</w:t>
      </w:r>
      <w:r w:rsidRPr="00C0168B">
        <w:t>urplus and spent samples according to workplace procedures</w:t>
      </w:r>
    </w:p>
    <w:p w:rsidR="00000000" w:rsidRPr="00C0168B" w:rsidP="00C0168B">
      <w:pPr>
        <w:pStyle w:val="ListBullet"/>
      </w:pPr>
      <w:r w:rsidRPr="00C0168B">
        <w:t>recognising hazards and using specified safety equipment and safe work procedures at all times.</w:t>
      </w:r>
    </w:p>
    <w:p w:rsidR="00000000" w:rsidRPr="00C0168B" w:rsidP="00C0168B">
      <w:pPr>
        <w:pStyle w:val="AllowPageBreak"/>
      </w:pPr>
    </w:p>
    <w:p w:rsidR="00000000" w:rsidRPr="00C0168B" w:rsidP="00C0168B">
      <w:pPr>
        <w:pStyle w:val="Heading1"/>
      </w:pPr>
      <w:bookmarkStart w:id="13" w:name="O_902957"/>
      <w:bookmarkEnd w:id="13"/>
      <w:r w:rsidRPr="00C0168B">
        <w:t>Knowledge Evidence</w:t>
      </w:r>
    </w:p>
    <w:p w:rsidR="00000000" w:rsidRPr="00C0168B" w:rsidP="004911C6">
      <w:pPr>
        <w:pStyle w:val="BodyText"/>
      </w:pPr>
      <w:r w:rsidRPr="00C0168B">
        <w:t>Must provide evidence that demonstrates knowledge of:</w:t>
      </w:r>
    </w:p>
    <w:p w:rsidR="00000000" w:rsidRPr="00C0168B" w:rsidP="00C0168B">
      <w:pPr>
        <w:pStyle w:val="ListBullet"/>
      </w:pPr>
      <w:r w:rsidRPr="00C0168B">
        <w:t>geological</w:t>
      </w:r>
      <w:r w:rsidRPr="00C0168B">
        <w:t xml:space="preserve"> properties of samples used in job role, including sulphides, oxides and silicates</w:t>
      </w:r>
    </w:p>
    <w:p w:rsidR="00000000" w:rsidRPr="00C0168B" w:rsidP="00C0168B">
      <w:pPr>
        <w:pStyle w:val="ListBullet"/>
      </w:pPr>
      <w:r w:rsidRPr="00C0168B">
        <w:t>terminology, including homogeneous, heterogeneous, integrity and segregation</w:t>
      </w:r>
    </w:p>
    <w:p w:rsidR="00000000" w:rsidRPr="00C0168B" w:rsidP="00C0168B">
      <w:pPr>
        <w:pStyle w:val="ListBullet"/>
      </w:pPr>
      <w:r w:rsidRPr="00C0168B">
        <w:t>distribution of common analytes in a matrix</w:t>
      </w:r>
    </w:p>
    <w:p w:rsidR="00000000" w:rsidRPr="00C0168B" w:rsidP="00C0168B">
      <w:pPr>
        <w:pStyle w:val="ListBullet"/>
      </w:pPr>
      <w:r w:rsidRPr="00C0168B">
        <w:t>chemical reactions associated with common preparatio</w:t>
      </w:r>
      <w:r w:rsidRPr="00C0168B">
        <w:t>n methods used in job role</w:t>
      </w:r>
    </w:p>
    <w:p w:rsidR="00000000" w:rsidRPr="00C0168B" w:rsidP="00C0168B">
      <w:pPr>
        <w:pStyle w:val="ListBullet"/>
      </w:pPr>
      <w:r w:rsidRPr="00C0168B">
        <w:t>effects of reagents on the element of interest</w:t>
      </w:r>
    </w:p>
    <w:p w:rsidR="00000000" w:rsidRPr="00C0168B" w:rsidP="00C0168B">
      <w:pPr>
        <w:pStyle w:val="ListBullet"/>
      </w:pPr>
      <w:r w:rsidRPr="00C0168B">
        <w:t>reaction and recovery rates, solubility and equilibria</w:t>
      </w:r>
    </w:p>
    <w:p w:rsidR="00000000" w:rsidRPr="00C0168B" w:rsidP="00C0168B">
      <w:pPr>
        <w:pStyle w:val="ListBullet"/>
      </w:pPr>
      <w:r w:rsidRPr="00C0168B">
        <w:t>tracking analytes of interest during changes of state</w:t>
      </w:r>
    </w:p>
    <w:p w:rsidR="00000000" w:rsidRPr="00C0168B" w:rsidP="00C0168B">
      <w:pPr>
        <w:pStyle w:val="ListBullet"/>
      </w:pPr>
      <w:r w:rsidRPr="00C0168B">
        <w:t>critical preparation steps that determine analytical accuracy and precisi</w:t>
      </w:r>
      <w:r w:rsidRPr="00C0168B">
        <w:t>on, including:</w:t>
      </w:r>
    </w:p>
    <w:p w:rsidR="00000000" w:rsidRPr="00C0168B" w:rsidP="00C0168B">
      <w:pPr>
        <w:pStyle w:val="ListBullet"/>
      </w:pPr>
      <w:r w:rsidRPr="00C0168B">
        <w:t>monitoring drying (incipient and total)</w:t>
      </w:r>
    </w:p>
    <w:p w:rsidR="00000000" w:rsidRPr="00C0168B" w:rsidP="00C0168B">
      <w:pPr>
        <w:pStyle w:val="ListBullet"/>
      </w:pPr>
      <w:r w:rsidRPr="00C0168B">
        <w:t>mixing to ensure homogeneity before sub-sampling</w:t>
      </w:r>
    </w:p>
    <w:p w:rsidR="00000000" w:rsidRPr="00C0168B" w:rsidP="00C0168B">
      <w:pPr>
        <w:pStyle w:val="ListBullet"/>
      </w:pPr>
      <w:r w:rsidRPr="00C0168B">
        <w:t>suitability of reagents for purpose (e.g. dryness)</w:t>
      </w:r>
    </w:p>
    <w:p w:rsidR="00000000" w:rsidRPr="00C0168B" w:rsidP="00C0168B">
      <w:pPr>
        <w:pStyle w:val="ListBullet"/>
      </w:pPr>
      <w:r w:rsidRPr="00C0168B">
        <w:t>accurate operation of dispensers and balances</w:t>
      </w:r>
    </w:p>
    <w:p w:rsidR="00000000" w:rsidRPr="00C0168B" w:rsidP="00C0168B">
      <w:pPr>
        <w:pStyle w:val="ListBullet"/>
      </w:pPr>
      <w:r w:rsidRPr="00C0168B">
        <w:t>critical/non-critical volumes and critical reagent quantities</w:t>
      </w:r>
    </w:p>
    <w:p w:rsidR="00000000" w:rsidRPr="00C0168B" w:rsidP="00C0168B">
      <w:pPr>
        <w:pStyle w:val="ListBullet"/>
      </w:pPr>
      <w:r w:rsidRPr="00C0168B">
        <w:t>temperature control during digests</w:t>
      </w:r>
    </w:p>
    <w:p w:rsidR="00000000" w:rsidRPr="00C0168B" w:rsidP="00C0168B">
      <w:pPr>
        <w:pStyle w:val="ListBullet"/>
      </w:pPr>
      <w:r w:rsidRPr="00C0168B">
        <w:t>loss of solution prior to/after mixing</w:t>
      </w:r>
    </w:p>
    <w:p w:rsidR="00000000" w:rsidRPr="00C0168B" w:rsidP="00C0168B">
      <w:pPr>
        <w:pStyle w:val="ListBullet"/>
      </w:pPr>
      <w:r w:rsidRPr="00C0168B">
        <w:t>type and acid strength in final solutions</w:t>
      </w:r>
    </w:p>
    <w:p w:rsidR="00000000" w:rsidRPr="00C0168B" w:rsidP="00C0168B">
      <w:pPr>
        <w:pStyle w:val="ListBullet"/>
      </w:pPr>
      <w:r w:rsidRPr="00C0168B">
        <w:t xml:space="preserve">mechanical loss of digest (sputtering, residues on glassware/plastic ware and </w:t>
      </w:r>
      <w:r w:rsidRPr="00C0168B">
        <w:t>filtering)</w:t>
      </w:r>
    </w:p>
    <w:p w:rsidR="00000000" w:rsidRPr="00C0168B" w:rsidP="00C0168B">
      <w:pPr>
        <w:pStyle w:val="ListBullet"/>
      </w:pPr>
      <w:r w:rsidRPr="00C0168B">
        <w:t>function of key components and operating procedures for sample preparation equipment</w:t>
      </w:r>
    </w:p>
    <w:p w:rsidR="00000000" w:rsidRPr="00C0168B" w:rsidP="00C0168B">
      <w:pPr>
        <w:pStyle w:val="ListBullet"/>
      </w:pPr>
      <w:r w:rsidRPr="00C0168B">
        <w:t xml:space="preserve">calculation steps in preparation methods (e.g. serial dilution) </w:t>
      </w:r>
    </w:p>
    <w:p w:rsidR="00000000" w:rsidRPr="00C0168B" w:rsidP="00C0168B">
      <w:pPr>
        <w:pStyle w:val="ListBullet"/>
      </w:pPr>
      <w:r w:rsidRPr="00C0168B">
        <w:t>use of non-international system of units (SI) units (ppm, ppb) and SI units, and conversions</w:t>
      </w:r>
    </w:p>
    <w:p w:rsidR="00000000" w:rsidRPr="00C0168B" w:rsidP="00C0168B">
      <w:pPr>
        <w:pStyle w:val="ListBullet"/>
      </w:pPr>
      <w:r w:rsidRPr="00C0168B">
        <w:t>wo</w:t>
      </w:r>
      <w:r w:rsidRPr="00C0168B">
        <w:t>rkplace and/or legal traceability requirements</w:t>
      </w:r>
    </w:p>
    <w:p w:rsidR="00000000" w:rsidRPr="00C0168B" w:rsidP="00C0168B">
      <w:pPr>
        <w:pStyle w:val="ListBullet"/>
      </w:pPr>
      <w:r w:rsidRPr="00C0168B">
        <w:t>relevant hazards, work health and safety (WHS) and environmental requirements, including use of material safety data sheets (MSDS) and antidotes for specific hazards, such as hydrofluoric acid and cyanide.</w:t>
      </w:r>
    </w:p>
    <w:p w:rsidR="00000000" w:rsidRPr="00C0168B" w:rsidP="00C0168B">
      <w:pPr>
        <w:pStyle w:val="AllowPageBreak"/>
      </w:pPr>
    </w:p>
    <w:p w:rsidR="00000000" w:rsidRPr="00C0168B" w:rsidP="00C0168B">
      <w:pPr>
        <w:pStyle w:val="Heading1"/>
      </w:pPr>
      <w:bookmarkStart w:id="14" w:name="O_902956"/>
      <w:bookmarkEnd w:id="14"/>
      <w:r w:rsidRPr="00C0168B">
        <w:t>Assessment Conditions</w:t>
      </w:r>
    </w:p>
    <w:p w:rsidR="00000000" w:rsidRPr="00C0168B" w:rsidP="00C0168B">
      <w:pPr>
        <w:pStyle w:val="ListBullet"/>
      </w:pPr>
      <w:r w:rsidRPr="00C0168B">
        <w:t xml:space="preserve">Judgement of competence must be based on holistic assessment of the evidence. Assessment methods must confirm consistency of performance over time, rather than a single assessment event. </w:t>
      </w:r>
    </w:p>
    <w:p w:rsidR="00000000" w:rsidRPr="00C0168B" w:rsidP="00C0168B">
      <w:pPr>
        <w:pStyle w:val="ListBullet"/>
      </w:pPr>
      <w:r w:rsidRPr="00C0168B">
        <w:t>This unit of competency is to b</w:t>
      </w:r>
      <w:r w:rsidRPr="00C0168B">
        <w:t>e assessed in the workplace or a simulated workplace environment. A simulated workplace environment must reflect realistic operational workplace conditions that cover all aspects of workplace performance, including the environment, task skills, task manage</w:t>
      </w:r>
      <w:r w:rsidRPr="00C0168B">
        <w:t xml:space="preserve">ment skills, contingency management skills and job role environment skills.  </w:t>
      </w:r>
    </w:p>
    <w:p w:rsidR="00000000" w:rsidRPr="00C0168B" w:rsidP="00C0168B">
      <w:pPr>
        <w:pStyle w:val="ListBullet"/>
      </w:pPr>
      <w:r w:rsidRPr="00C0168B">
        <w:t xml:space="preserve">Foundation skills are integral to competent performance of the unit and should not be assessed separately. </w:t>
      </w:r>
    </w:p>
    <w:p w:rsidR="00000000" w:rsidRPr="00C0168B" w:rsidP="00C0168B">
      <w:pPr>
        <w:pStyle w:val="ListBullet"/>
      </w:pPr>
      <w:r w:rsidRPr="00C0168B">
        <w:t>Assessment processes and techniques must be appropriate to the languag</w:t>
      </w:r>
      <w:r w:rsidRPr="00C0168B">
        <w:t>e, literacy and numeracy requirements of the work being performed and the needs of the candidate.</w:t>
      </w:r>
    </w:p>
    <w:p w:rsidR="00000000" w:rsidRPr="00C0168B" w:rsidP="00C0168B">
      <w:pPr>
        <w:pStyle w:val="ListBullet"/>
      </w:pPr>
      <w:r w:rsidRPr="00C0168B">
        <w:t>Knowledge evidence may be collected concurrently with performance evidence or through an independent process, such as workbooks, written assessments or interv</w:t>
      </w:r>
      <w:r w:rsidRPr="00C0168B">
        <w:t>iews (provided a record is kept in each case).</w:t>
      </w:r>
    </w:p>
    <w:p w:rsidR="00000000" w:rsidRPr="00C0168B" w:rsidP="00C0168B">
      <w:pPr>
        <w:pStyle w:val="ListBullet"/>
      </w:pPr>
      <w:r w:rsidRPr="00C0168B">
        <w:t xml:space="preserve">This unit of competency may be assessed with: </w:t>
      </w:r>
    </w:p>
    <w:p w:rsidR="00000000" w:rsidRPr="00C0168B" w:rsidP="00C0168B">
      <w:pPr>
        <w:pStyle w:val="ListBullet2"/>
      </w:pPr>
      <w:r w:rsidRPr="00C0168B">
        <w:t>MSL924001 Record and present data</w:t>
      </w:r>
    </w:p>
    <w:p w:rsidR="00000000" w:rsidRPr="00C0168B" w:rsidP="00C0168B">
      <w:pPr>
        <w:pStyle w:val="ListBullet2"/>
      </w:pPr>
      <w:r w:rsidRPr="00C0168B">
        <w:t>MSL943002 Participate in laboratory or field workplace safety</w:t>
      </w:r>
    </w:p>
    <w:p w:rsidR="00000000" w:rsidRPr="00C0168B" w:rsidP="00C0168B">
      <w:pPr>
        <w:pStyle w:val="ListBullet"/>
      </w:pPr>
      <w:r w:rsidRPr="00C0168B">
        <w:t xml:space="preserve">Holistic assessment methods include: </w:t>
      </w:r>
    </w:p>
    <w:p w:rsidR="00000000" w:rsidRPr="00C0168B" w:rsidP="00C0168B">
      <w:pPr>
        <w:pStyle w:val="ListBullet2"/>
      </w:pPr>
      <w:r w:rsidRPr="00C0168B">
        <w:t>sizing checks and grind performance for samples prepared by candidate</w:t>
      </w:r>
    </w:p>
    <w:p w:rsidR="00000000" w:rsidRPr="00C0168B" w:rsidP="00C0168B">
      <w:pPr>
        <w:pStyle w:val="ListBullet2"/>
      </w:pPr>
      <w:r w:rsidRPr="00C0168B">
        <w:t>review of quality control performance and analytical results traceable to samples prepared by the candidate</w:t>
      </w:r>
    </w:p>
    <w:p w:rsidR="00000000" w:rsidRPr="00C0168B" w:rsidP="00C0168B">
      <w:pPr>
        <w:pStyle w:val="ListBullet2"/>
      </w:pPr>
      <w:r w:rsidRPr="00C0168B">
        <w:t>review of preparation and production documentation prepared by the candidate</w:t>
      </w:r>
    </w:p>
    <w:p w:rsidR="00000000" w:rsidRPr="00C0168B" w:rsidP="00C0168B">
      <w:pPr>
        <w:pStyle w:val="ListBullet2"/>
      </w:pPr>
      <w:r w:rsidRPr="00C0168B">
        <w:t>f</w:t>
      </w:r>
      <w:r w:rsidRPr="00C0168B">
        <w:t>eedback from supervisors and/or clients about the candidate’s ability to safely prepare mineral samples that meet client requirements</w:t>
      </w:r>
    </w:p>
    <w:p w:rsidR="00000000" w:rsidRPr="00C0168B" w:rsidP="00C0168B">
      <w:pPr>
        <w:pStyle w:val="ListBullet2"/>
      </w:pPr>
      <w:r w:rsidRPr="00C0168B">
        <w:t>observation of the candidate preparing mineral samples for analysis</w:t>
      </w:r>
    </w:p>
    <w:p w:rsidR="00000000" w:rsidRPr="00C0168B" w:rsidP="00C0168B">
      <w:pPr>
        <w:pStyle w:val="ListBullet2"/>
      </w:pPr>
      <w:r w:rsidRPr="00C0168B">
        <w:t>oral or written questions about preparation methods, c</w:t>
      </w:r>
      <w:r w:rsidRPr="00C0168B">
        <w:t>ritical steps, typical problems and corrective actions.</w:t>
      </w:r>
    </w:p>
    <w:p w:rsidR="00000000" w:rsidRPr="00C0168B" w:rsidP="00C0168B">
      <w:pPr>
        <w:pStyle w:val="ListBullet"/>
      </w:pPr>
      <w:r w:rsidRPr="00C0168B">
        <w:t>Access is required to instruments, equipment, materials, workplace documentation, procedures and specifications associated with this unit, including, but not limited to:</w:t>
      </w:r>
    </w:p>
    <w:p w:rsidR="00000000" w:rsidRPr="00C0168B" w:rsidP="00C0168B">
      <w:pPr>
        <w:pStyle w:val="ListBullet2"/>
      </w:pPr>
      <w:r w:rsidRPr="00C0168B">
        <w:t>a variety of mineral samples</w:t>
      </w:r>
      <w:r w:rsidRPr="00C0168B">
        <w:t>, sample preparation methods, reagents, sample containers and labels</w:t>
      </w:r>
    </w:p>
    <w:p w:rsidR="00000000" w:rsidRPr="00C0168B" w:rsidP="00C0168B">
      <w:pPr>
        <w:pStyle w:val="ListBullet2"/>
      </w:pPr>
      <w:r w:rsidRPr="00C0168B">
        <w:t>client requests/documentation, such as client profile; sample identification and sample receipts; required preparation methods, storage and analyses; and service charges</w:t>
      </w:r>
    </w:p>
    <w:p w:rsidR="00000000" w:rsidRPr="00C0168B" w:rsidP="00C0168B">
      <w:pPr>
        <w:pStyle w:val="ListBullet2"/>
      </w:pPr>
      <w:r w:rsidRPr="00C0168B">
        <w:t>sample preparatio</w:t>
      </w:r>
      <w:r w:rsidRPr="00C0168B">
        <w:t xml:space="preserve">n equipment, such as splitters (e.g. riffles and rotary dividers), mills (e.g. ball, ring and rod), bowls (e.g. chrome-steel, tungsten-carbide and zirconia) and tumblers, crushers (e.g. cone, jaw and roll), grinders and disc pulverisers, sieves, ovens and </w:t>
      </w:r>
      <w:r w:rsidRPr="00C0168B">
        <w:t>muffle furnaces</w:t>
      </w:r>
    </w:p>
    <w:p w:rsidR="00000000" w:rsidRPr="00C0168B" w:rsidP="00C0168B">
      <w:pPr>
        <w:pStyle w:val="ListBullet2"/>
      </w:pPr>
      <w:r w:rsidRPr="00C0168B">
        <w:t>laboratory equipment, such as ultrasonic baths, centrifuges and vacuum and pressure filtration, volumetric glassware/plastic ware and dispensers, analytical balances and auto-samplers</w:t>
      </w:r>
    </w:p>
    <w:p w:rsidR="00000000" w:rsidRPr="00C0168B" w:rsidP="00C0168B">
      <w:pPr>
        <w:pStyle w:val="ListBullet2"/>
      </w:pPr>
      <w:r w:rsidRPr="00C0168B">
        <w:t>safety equipment and safe work procedures.</w:t>
      </w:r>
    </w:p>
    <w:p w:rsidR="00000000" w:rsidRPr="00C0168B" w:rsidP="00C0168B">
      <w:pPr>
        <w:pStyle w:val="ListBullet"/>
      </w:pPr>
      <w:r w:rsidRPr="00C0168B">
        <w:t xml:space="preserve">Assessors must satisfy the assessor competency requirements that are in place at the time of the assessment as set by the VET regulator.  </w:t>
      </w:r>
    </w:p>
    <w:p w:rsidR="00000000" w:rsidRPr="00C0168B" w:rsidP="00C0168B">
      <w:pPr>
        <w:pStyle w:val="ListBullet"/>
      </w:pPr>
      <w:r w:rsidRPr="00C0168B">
        <w:t>The assessor must demonstrate both technical competence and currency.</w:t>
      </w:r>
    </w:p>
    <w:p w:rsidR="00000000" w:rsidRPr="00C0168B" w:rsidP="00C0168B">
      <w:pPr>
        <w:pStyle w:val="ListBullet"/>
      </w:pPr>
      <w:r w:rsidRPr="00C0168B">
        <w:t>Technical competence can be demonstrated throug</w:t>
      </w:r>
      <w:r w:rsidRPr="00C0168B">
        <w:t>h:</w:t>
      </w:r>
    </w:p>
    <w:p w:rsidR="00000000" w:rsidRPr="00C0168B" w:rsidP="00C0168B">
      <w:pPr>
        <w:pStyle w:val="ListBullet2"/>
      </w:pPr>
      <w:r w:rsidRPr="00C0168B">
        <w:t>relevant VET or other qualification/Statement of Attainment AND/OR</w:t>
      </w:r>
    </w:p>
    <w:p w:rsidR="00000000" w:rsidRPr="00C0168B" w:rsidP="00C0168B">
      <w:pPr>
        <w:pStyle w:val="ListBullet2"/>
      </w:pPr>
      <w:r w:rsidRPr="00C0168B">
        <w:t>relevant workplace experience.</w:t>
      </w:r>
    </w:p>
    <w:p w:rsidR="00000000" w:rsidRPr="00C0168B" w:rsidP="00C0168B">
      <w:pPr>
        <w:pStyle w:val="ListBullet"/>
      </w:pPr>
      <w:r w:rsidRPr="00C0168B">
        <w:t>Currency can be demonstrated through:</w:t>
      </w:r>
    </w:p>
    <w:p w:rsidR="00000000" w:rsidRPr="00C0168B" w:rsidP="00C0168B">
      <w:pPr>
        <w:pStyle w:val="ListBullet2"/>
      </w:pPr>
      <w:r w:rsidRPr="00C0168B">
        <w:t>performing the competency being assessed as part of current employment OR</w:t>
      </w:r>
    </w:p>
    <w:p w:rsidR="00000000" w:rsidRPr="00C0168B" w:rsidP="00C0168B">
      <w:pPr>
        <w:pStyle w:val="ListBullet2"/>
      </w:pPr>
      <w:r w:rsidRPr="00C0168B">
        <w:t>having consulted with a laboratory about</w:t>
      </w:r>
      <w:r w:rsidRPr="00C0168B">
        <w:t xml:space="preserve"> performing the competency being assessed within the last twelve months.</w:t>
      </w:r>
    </w:p>
    <w:p w:rsidR="00000000" w:rsidRPr="00C0168B" w:rsidP="00C0168B">
      <w:pPr>
        <w:pStyle w:val="AllowPageBreak"/>
      </w:pPr>
    </w:p>
    <w:p w:rsidR="00000000" w:rsidRPr="00C0168B" w:rsidP="00C0168B">
      <w:pPr>
        <w:pStyle w:val="Heading1"/>
      </w:pPr>
      <w:bookmarkStart w:id="15" w:name="O_902954"/>
      <w:bookmarkEnd w:id="15"/>
      <w:r w:rsidRPr="00C0168B">
        <w:t>Links</w:t>
      </w:r>
    </w:p>
    <w:p w:rsidR="00000000" w:rsidRPr="00C0168B" w:rsidP="004911C6">
      <w:pPr>
        <w:pStyle w:val="BodyText"/>
      </w:pPr>
      <w:r w:rsidRPr="00C0168B">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307E98">
        <w:rPr>
          <w:rStyle w:val="Hyperlink"/>
        </w:rPr>
        <w:t>https://vetnet.gov.au/Pages/TrainingDocs.aspx?q=5c63a03b-4a6b-4ae5-9560-1e3c5f462baa</w:t>
      </w:r>
      <w:r>
        <w:fldChar w:fldCharType="end"/>
      </w:r>
    </w:p>
    <w:p w:rsidR="00000000" w:rsidRPr="00C0168B" w:rsidP="00C0168B"/>
    <w:sectPr w:rsidSect="00C016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6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68B" w:rsidRPr="004911C6" w:rsidP="004911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6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1C6" w:rsidP="00C016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911C6" w:rsidP="00C016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911C6" w:rsidP="00C016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68B" w:rsidP="00C0168B">
    <w:pPr>
      <w:pStyle w:val="Footer"/>
      <w:framePr w:wrap="around"/>
    </w:pPr>
    <w:r>
      <w:fldChar w:fldCharType="begin"/>
    </w:r>
    <w:r>
      <w:instrText xml:space="preserve"> DOCPROPERTY  Subject  \* MERGEFORMAT </w:instrText>
    </w:r>
    <w:r>
      <w:fldChar w:fldCharType="separate"/>
    </w:r>
    <w:r w:rsidR="004911C6">
      <w:t>Approved</w:t>
    </w:r>
    <w:r w:rsidR="004911C6">
      <w:fldChar w:fldCharType="end"/>
    </w:r>
    <w:r>
      <w:tab/>
      <w:t xml:space="preserve">Page </w:t>
    </w:r>
    <w:r>
      <w:fldChar w:fldCharType="begin"/>
    </w:r>
    <w:r>
      <w:instrText xml:space="preserve"> PAGE  \* Arabic  \* MERGEFORMAT </w:instrText>
    </w:r>
    <w:r>
      <w:fldChar w:fldCharType="separate"/>
    </w:r>
    <w:r w:rsidR="004911C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11C6">
      <w:rPr>
        <w:noProof/>
      </w:rPr>
      <w:t>7</w:t>
    </w:r>
    <w:r>
      <w:rPr>
        <w:noProof/>
      </w:rPr>
      <w:fldChar w:fldCharType="end"/>
    </w:r>
  </w:p>
  <w:p w:rsidR="00C0168B" w:rsidP="00C0168B">
    <w:pPr>
      <w:pStyle w:val="Footer"/>
      <w:framePr w:wrap="around"/>
    </w:pPr>
    <w:r>
      <w:t xml:space="preserve">© Commonwealth of Australia, </w:t>
    </w:r>
    <w:r>
      <w:fldChar w:fldCharType="begin"/>
    </w:r>
    <w:r>
      <w:instrText xml:space="preserve"> DATE  \@ "yyyy"  \* MERGEFORMAT </w:instrText>
    </w:r>
    <w:r>
      <w:fldChar w:fldCharType="separate"/>
    </w:r>
    <w:r w:rsidR="004911C6">
      <w:rPr>
        <w:noProof/>
      </w:rPr>
      <w:t>2025</w:t>
    </w:r>
    <w:r>
      <w:fldChar w:fldCharType="end"/>
    </w:r>
    <w:r>
      <w:tab/>
    </w:r>
    <w:r>
      <w:fldChar w:fldCharType="begin"/>
    </w:r>
    <w:r>
      <w:instrText xml:space="preserve"> DOCPROPERTY  Author  \* MERGEFORMAT </w:instrText>
    </w:r>
    <w:r>
      <w:fldChar w:fldCharType="separate"/>
    </w:r>
    <w:r w:rsidR="004911C6">
      <w:t>Manufacturing Industry Skills Alliance</w:t>
    </w:r>
    <w:r w:rsidR="004911C6">
      <w:fldChar w:fldCharType="end"/>
    </w:r>
  </w:p>
  <w:p w:rsidR="00C0168B" w:rsidP="00C016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6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1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168B" w:rsidRPr="004911C6" w:rsidP="004911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6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1C6" w:rsidRPr="002D2AF8" w:rsidP="00C0168B">
    <w:pPr>
      <w:pStyle w:val="Header"/>
      <w:framePr w:wrap="around"/>
    </w:pPr>
    <w:r>
      <w:fldChar w:fldCharType="begin"/>
    </w:r>
    <w:r>
      <w:instrText xml:space="preserve"> TITLE   \* MERGEFORMAT </w:instrText>
    </w:r>
    <w:r>
      <w:fldChar w:fldCharType="separate"/>
    </w:r>
    <w:r>
      <w:t>MSL954002 Prepare mineral samples for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11C6" w:rsidP="00C016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68B" w:rsidRPr="002D2AF8" w:rsidP="00C0168B">
    <w:pPr>
      <w:pStyle w:val="Header"/>
      <w:framePr w:wrap="around"/>
    </w:pPr>
    <w:r>
      <w:fldChar w:fldCharType="begin"/>
    </w:r>
    <w:r>
      <w:instrText xml:space="preserve"> TITLE   \* MERGEFORMAT </w:instrText>
    </w:r>
    <w:r>
      <w:fldChar w:fldCharType="separate"/>
    </w:r>
    <w:r w:rsidR="004911C6">
      <w:t>MSL954002 Prepare mineral samples for analysis</w:t>
    </w:r>
    <w:r w:rsidR="004911C6">
      <w:fldChar w:fldCharType="end"/>
    </w:r>
    <w:r>
      <w:tab/>
      <w:t xml:space="preserve">Date this document was generated: </w:t>
    </w:r>
    <w:r>
      <w:fldChar w:fldCharType="begin"/>
    </w:r>
    <w:r>
      <w:instrText xml:space="preserve"> CREATEDATE  \@ "d MMMM yyyy"  \* MERGEFORMAT </w:instrText>
    </w:r>
    <w:r>
      <w:fldChar w:fldCharType="separate"/>
    </w:r>
    <w:r w:rsidR="004911C6">
      <w:rPr>
        <w:noProof/>
      </w:rPr>
      <w:t>2 March 2025</w:t>
    </w:r>
    <w:r>
      <w:fldChar w:fldCharType="end"/>
    </w:r>
  </w:p>
  <w:p w:rsidR="00C0168B" w:rsidP="00C016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94A4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207C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0416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6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168B"/>
    <w:pPr>
      <w:spacing w:before="360" w:after="60"/>
      <w:outlineLvl w:val="0"/>
    </w:pPr>
    <w:rPr>
      <w:sz w:val="32"/>
    </w:rPr>
  </w:style>
  <w:style w:type="paragraph" w:styleId="Heading2">
    <w:name w:val="heading 2"/>
    <w:basedOn w:val="HeadingBase"/>
    <w:next w:val="BodyText"/>
    <w:link w:val="Heading2Char"/>
    <w:qFormat/>
    <w:rsid w:val="00C0168B"/>
    <w:pPr>
      <w:keepLines/>
      <w:spacing w:before="240" w:after="120"/>
      <w:outlineLvl w:val="1"/>
    </w:pPr>
    <w:rPr>
      <w:sz w:val="28"/>
      <w:szCs w:val="40"/>
    </w:rPr>
  </w:style>
  <w:style w:type="paragraph" w:styleId="Heading3">
    <w:name w:val="heading 3"/>
    <w:basedOn w:val="HeadingBase"/>
    <w:next w:val="BodyText"/>
    <w:link w:val="Heading3Char"/>
    <w:qFormat/>
    <w:rsid w:val="00C0168B"/>
    <w:pPr>
      <w:spacing w:before="180" w:after="120"/>
      <w:outlineLvl w:val="2"/>
    </w:pPr>
    <w:rPr>
      <w:spacing w:val="-10"/>
      <w:kern w:val="32"/>
    </w:rPr>
  </w:style>
  <w:style w:type="paragraph" w:styleId="Heading4">
    <w:name w:val="heading 4"/>
    <w:basedOn w:val="HeadingBase"/>
    <w:next w:val="BodyText"/>
    <w:link w:val="Heading4Char"/>
    <w:qFormat/>
    <w:rsid w:val="00C0168B"/>
    <w:pPr>
      <w:spacing w:before="160" w:after="120"/>
      <w:outlineLvl w:val="3"/>
    </w:pPr>
    <w:rPr>
      <w:sz w:val="22"/>
    </w:rPr>
  </w:style>
  <w:style w:type="paragraph" w:styleId="Heading5">
    <w:name w:val="heading 5"/>
    <w:basedOn w:val="HeadingBase"/>
    <w:next w:val="Normal"/>
    <w:link w:val="Heading5Char"/>
    <w:qFormat/>
    <w:rsid w:val="00C0168B"/>
    <w:pPr>
      <w:spacing w:before="80"/>
      <w:outlineLvl w:val="4"/>
    </w:pPr>
    <w:rPr>
      <w:color w:val="918585"/>
      <w:sz w:val="20"/>
    </w:rPr>
  </w:style>
  <w:style w:type="paragraph" w:styleId="Heading6">
    <w:name w:val="heading 6"/>
    <w:basedOn w:val="HeadingBase"/>
    <w:next w:val="Normal"/>
    <w:link w:val="Heading6Char"/>
    <w:qFormat/>
    <w:rsid w:val="00C0168B"/>
    <w:pPr>
      <w:spacing w:before="60"/>
      <w:outlineLvl w:val="5"/>
    </w:pPr>
    <w:rPr>
      <w:color w:val="918585"/>
      <w:sz w:val="20"/>
    </w:rPr>
  </w:style>
  <w:style w:type="paragraph" w:styleId="Heading7">
    <w:name w:val="heading 7"/>
    <w:basedOn w:val="Normal"/>
    <w:next w:val="Normal"/>
    <w:link w:val="Heading7Char"/>
    <w:qFormat/>
    <w:rsid w:val="00C0168B"/>
    <w:pPr>
      <w:ind w:left="720"/>
      <w:outlineLvl w:val="6"/>
    </w:pPr>
    <w:rPr>
      <w:i/>
    </w:rPr>
  </w:style>
  <w:style w:type="paragraph" w:styleId="Heading8">
    <w:name w:val="heading 8"/>
    <w:basedOn w:val="Normal"/>
    <w:next w:val="Normal"/>
    <w:link w:val="Heading8Char"/>
    <w:qFormat/>
    <w:rsid w:val="00C0168B"/>
    <w:pPr>
      <w:ind w:left="720"/>
      <w:outlineLvl w:val="7"/>
    </w:pPr>
    <w:rPr>
      <w:i/>
    </w:rPr>
  </w:style>
  <w:style w:type="paragraph" w:styleId="Heading9">
    <w:name w:val="heading 9"/>
    <w:basedOn w:val="Normal"/>
    <w:next w:val="Normal"/>
    <w:link w:val="Heading9Char"/>
    <w:qFormat/>
    <w:rsid w:val="00C0168B"/>
    <w:pPr>
      <w:ind w:left="720"/>
      <w:outlineLvl w:val="8"/>
    </w:pPr>
    <w:rPr>
      <w:i/>
    </w:rPr>
  </w:style>
  <w:style w:type="character" w:default="1" w:styleId="DefaultParagraphFont">
    <w:name w:val="Default Paragraph Font"/>
    <w:uiPriority w:val="1"/>
    <w:unhideWhenUsed/>
    <w:rsid w:val="00C016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168B"/>
  </w:style>
  <w:style w:type="character" w:customStyle="1" w:styleId="Heading1Char">
    <w:name w:val="Heading 1 Char"/>
    <w:basedOn w:val="DefaultParagraphFont"/>
    <w:link w:val="Heading1"/>
    <w:rsid w:val="00C0168B"/>
    <w:rPr>
      <w:rFonts w:ascii="Times New Roman" w:eastAsia="Times New Roman" w:hAnsi="Times New Roman" w:cs="Times New Roman"/>
      <w:b/>
      <w:sz w:val="32"/>
      <w:szCs w:val="20"/>
      <w:lang w:eastAsia="en-US"/>
    </w:rPr>
  </w:style>
  <w:style w:type="paragraph" w:styleId="BodyText">
    <w:name w:val="Body Text"/>
    <w:basedOn w:val="Normal"/>
    <w:link w:val="BodyTextChar"/>
    <w:rsid w:val="00C016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168B"/>
    <w:rPr>
      <w:rFonts w:ascii="Times New Roman" w:eastAsia="Times New Roman" w:hAnsi="Times New Roman" w:cs="Times New Roman"/>
      <w:sz w:val="24"/>
      <w:lang w:eastAsia="en-US"/>
    </w:rPr>
  </w:style>
  <w:style w:type="paragraph" w:styleId="ListBullet">
    <w:name w:val="List Bullet"/>
    <w:basedOn w:val="List"/>
    <w:rsid w:val="00C0168B"/>
    <w:pPr>
      <w:numPr>
        <w:numId w:val="12"/>
      </w:numPr>
      <w:tabs>
        <w:tab w:val="clear" w:pos="340"/>
      </w:tabs>
      <w:spacing w:before="40" w:after="40"/>
    </w:pPr>
  </w:style>
  <w:style w:type="character" w:customStyle="1" w:styleId="SpecialBold">
    <w:name w:val="Special Bold"/>
    <w:basedOn w:val="DefaultParagraphFont"/>
    <w:rsid w:val="00C0168B"/>
    <w:rPr>
      <w:b/>
      <w:spacing w:val="0"/>
    </w:rPr>
  </w:style>
  <w:style w:type="paragraph" w:styleId="ListBullet2">
    <w:name w:val="List Bullet 2"/>
    <w:basedOn w:val="List2"/>
    <w:rsid w:val="00C0168B"/>
    <w:pPr>
      <w:numPr>
        <w:numId w:val="13"/>
      </w:numPr>
      <w:tabs>
        <w:tab w:val="clear" w:pos="680"/>
      </w:tabs>
    </w:pPr>
  </w:style>
  <w:style w:type="paragraph" w:customStyle="1" w:styleId="SuperHeading">
    <w:name w:val="SuperHeading"/>
    <w:basedOn w:val="Normal"/>
    <w:rsid w:val="00C0168B"/>
    <w:pPr>
      <w:spacing w:before="240" w:after="120"/>
      <w:outlineLvl w:val="0"/>
    </w:pPr>
    <w:rPr>
      <w:rFonts w:ascii="Times New Roman" w:hAnsi="Times New Roman"/>
      <w:b/>
      <w:sz w:val="32"/>
    </w:rPr>
  </w:style>
  <w:style w:type="paragraph" w:customStyle="1" w:styleId="AllowPageBreak">
    <w:name w:val="AllowPageBreak"/>
    <w:rsid w:val="00C016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C0168B"/>
    <w:rPr>
      <w:rFonts w:ascii="Symbol" w:hAnsi="Symbol"/>
    </w:rPr>
  </w:style>
  <w:style w:type="character" w:customStyle="1" w:styleId="Heading2Char">
    <w:name w:val="Heading 2 Char"/>
    <w:basedOn w:val="DefaultParagraphFont"/>
    <w:link w:val="Heading2"/>
    <w:rsid w:val="00C016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16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16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16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16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16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16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168B"/>
    <w:rPr>
      <w:rFonts w:ascii="Courier New" w:eastAsia="Times New Roman" w:hAnsi="Courier New" w:cs="Times New Roman"/>
      <w:i/>
      <w:szCs w:val="20"/>
      <w:lang w:eastAsia="en-US"/>
    </w:rPr>
  </w:style>
  <w:style w:type="paragraph" w:customStyle="1" w:styleId="HeadingBase">
    <w:name w:val="Heading Base"/>
    <w:rsid w:val="00C016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168B"/>
    <w:pPr>
      <w:tabs>
        <w:tab w:val="right" w:leader="dot" w:pos="9072"/>
      </w:tabs>
      <w:ind w:left="567"/>
    </w:pPr>
    <w:rPr>
      <w:szCs w:val="22"/>
    </w:rPr>
  </w:style>
  <w:style w:type="paragraph" w:customStyle="1" w:styleId="TOCBase">
    <w:name w:val="TOC Base"/>
    <w:rsid w:val="00C016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168B"/>
    <w:pPr>
      <w:tabs>
        <w:tab w:val="right" w:leader="dot" w:pos="9072"/>
      </w:tabs>
      <w:spacing w:before="40" w:after="40"/>
      <w:ind w:left="284"/>
    </w:pPr>
    <w:rPr>
      <w:rFonts w:ascii="Times New Roman" w:hAnsi="Times New Roman"/>
    </w:rPr>
  </w:style>
  <w:style w:type="paragraph" w:styleId="TOC1">
    <w:name w:val="toc 1"/>
    <w:basedOn w:val="TOCBase"/>
    <w:next w:val="Normal"/>
    <w:rsid w:val="00C016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16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168B"/>
    <w:rPr>
      <w:rFonts w:ascii="Times New Roman" w:eastAsia="Times New Roman" w:hAnsi="Times New Roman" w:cs="Times New Roman"/>
      <w:sz w:val="16"/>
      <w:lang w:eastAsia="en-US"/>
    </w:rPr>
  </w:style>
  <w:style w:type="paragraph" w:styleId="Title">
    <w:name w:val="Title"/>
    <w:basedOn w:val="HeadingBase"/>
    <w:link w:val="TitleChar"/>
    <w:qFormat/>
    <w:rsid w:val="00C0168B"/>
    <w:pPr>
      <w:spacing w:before="5040"/>
      <w:jc w:val="center"/>
    </w:pPr>
    <w:rPr>
      <w:sz w:val="48"/>
      <w:szCs w:val="72"/>
      <w:lang w:val="en-US"/>
    </w:rPr>
  </w:style>
  <w:style w:type="character" w:customStyle="1" w:styleId="TitleChar">
    <w:name w:val="Title Char"/>
    <w:basedOn w:val="DefaultParagraphFont"/>
    <w:link w:val="Title"/>
    <w:rsid w:val="00C016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168B"/>
    <w:pPr>
      <w:tabs>
        <w:tab w:val="left" w:pos="3600"/>
        <w:tab w:val="left" w:pos="3958"/>
      </w:tabs>
    </w:pPr>
  </w:style>
  <w:style w:type="paragraph" w:styleId="List">
    <w:name w:val="List"/>
    <w:basedOn w:val="BodyText"/>
    <w:next w:val="BodyText"/>
    <w:rsid w:val="00C0168B"/>
    <w:pPr>
      <w:tabs>
        <w:tab w:val="left" w:pos="340"/>
      </w:tabs>
      <w:spacing w:before="60" w:after="60"/>
      <w:ind w:left="340" w:hanging="340"/>
    </w:pPr>
  </w:style>
  <w:style w:type="paragraph" w:customStyle="1" w:styleId="Note">
    <w:name w:val="Note"/>
    <w:basedOn w:val="BodyText"/>
    <w:rsid w:val="00C016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168B"/>
    <w:pPr>
      <w:framePr w:wrap="auto" w:hAnchor="text" w:y="6049"/>
    </w:pPr>
    <w:rPr>
      <w:color w:val="000000"/>
      <w:sz w:val="40"/>
    </w:rPr>
  </w:style>
  <w:style w:type="paragraph" w:customStyle="1" w:styleId="TOCTitle">
    <w:name w:val="TOCTitle"/>
    <w:basedOn w:val="Heading1"/>
    <w:rsid w:val="00C0168B"/>
    <w:pPr>
      <w:spacing w:after="240"/>
      <w:jc w:val="center"/>
      <w:outlineLvl w:val="9"/>
    </w:pPr>
    <w:rPr>
      <w:caps/>
    </w:rPr>
  </w:style>
  <w:style w:type="paragraph" w:customStyle="1" w:styleId="Version">
    <w:name w:val="Version"/>
    <w:rsid w:val="00C016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168B"/>
    <w:pPr>
      <w:keepNext w:val="0"/>
      <w:tabs>
        <w:tab w:val="right" w:pos="4176"/>
      </w:tabs>
      <w:ind w:left="198" w:hanging="198"/>
    </w:pPr>
    <w:rPr>
      <w:rFonts w:ascii="Garamond" w:hAnsi="Garamond"/>
    </w:rPr>
  </w:style>
  <w:style w:type="paragraph" w:styleId="IndexHeading">
    <w:name w:val="index heading"/>
    <w:basedOn w:val="Normal"/>
    <w:next w:val="Index1"/>
    <w:semiHidden/>
    <w:rsid w:val="00C0168B"/>
    <w:pPr>
      <w:spacing w:before="120" w:after="120"/>
    </w:pPr>
    <w:rPr>
      <w:rFonts w:ascii="Arial" w:hAnsi="Arial"/>
      <w:b/>
      <w:color w:val="918585"/>
      <w:sz w:val="24"/>
    </w:rPr>
  </w:style>
  <w:style w:type="paragraph" w:styleId="Header">
    <w:name w:val="header"/>
    <w:basedOn w:val="Normal"/>
    <w:link w:val="HeaderChar"/>
    <w:rsid w:val="00C016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168B"/>
    <w:rPr>
      <w:rFonts w:ascii="Times New Roman" w:eastAsia="Times New Roman" w:hAnsi="Times New Roman" w:cs="Times New Roman"/>
      <w:sz w:val="16"/>
      <w:szCs w:val="20"/>
      <w:lang w:val="en-GB" w:eastAsia="en-US"/>
    </w:rPr>
  </w:style>
  <w:style w:type="paragraph" w:customStyle="1" w:styleId="Chapter">
    <w:name w:val="Chapter"/>
    <w:basedOn w:val="Normal"/>
    <w:rsid w:val="00C0168B"/>
    <w:pPr>
      <w:spacing w:before="240"/>
    </w:pPr>
    <w:rPr>
      <w:rFonts w:ascii="Times New Roman" w:hAnsi="Times New Roman"/>
      <w:smallCaps/>
      <w:spacing w:val="80"/>
      <w:sz w:val="28"/>
    </w:rPr>
  </w:style>
  <w:style w:type="paragraph" w:customStyle="1" w:styleId="InChapter">
    <w:name w:val="InChapter"/>
    <w:basedOn w:val="Heading3"/>
    <w:rsid w:val="00C0168B"/>
    <w:pPr>
      <w:spacing w:after="240"/>
      <w:outlineLvl w:val="9"/>
    </w:pPr>
    <w:rPr>
      <w:noProof/>
    </w:rPr>
  </w:style>
  <w:style w:type="paragraph" w:styleId="Index2">
    <w:name w:val="index 2"/>
    <w:basedOn w:val="Normal"/>
    <w:next w:val="Normal"/>
    <w:semiHidden/>
    <w:rsid w:val="00C0168B"/>
    <w:pPr>
      <w:tabs>
        <w:tab w:val="right" w:pos="4176"/>
      </w:tabs>
      <w:ind w:left="568" w:hanging="284"/>
    </w:pPr>
    <w:rPr>
      <w:rFonts w:ascii="Garamond" w:hAnsi="Garamond"/>
    </w:rPr>
  </w:style>
  <w:style w:type="paragraph" w:customStyle="1" w:styleId="Byline">
    <w:name w:val="Byline"/>
    <w:rsid w:val="00C016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168B"/>
    <w:pPr>
      <w:tabs>
        <w:tab w:val="clear" w:pos="3600"/>
        <w:tab w:val="clear" w:pos="3958"/>
      </w:tabs>
      <w:jc w:val="right"/>
    </w:pPr>
  </w:style>
  <w:style w:type="character" w:styleId="Emphasis">
    <w:name w:val="Emphasis"/>
    <w:basedOn w:val="DefaultParagraphFont"/>
    <w:qFormat/>
    <w:rsid w:val="00C0168B"/>
    <w:rPr>
      <w:i/>
    </w:rPr>
  </w:style>
  <w:style w:type="paragraph" w:styleId="Caption">
    <w:name w:val="caption"/>
    <w:basedOn w:val="BodyText"/>
    <w:next w:val="Normal"/>
    <w:qFormat/>
    <w:rsid w:val="00C0168B"/>
    <w:pPr>
      <w:framePr w:w="2268" w:hSpace="181" w:vSpace="181" w:wrap="around" w:vAnchor="text" w:hAnchor="page" w:x="1135" w:y="285" w:anchorLock="1"/>
    </w:pPr>
    <w:rPr>
      <w:i/>
    </w:rPr>
  </w:style>
  <w:style w:type="paragraph" w:customStyle="1" w:styleId="MiniTOCTitle">
    <w:name w:val="MiniTOCTitle"/>
    <w:basedOn w:val="Heading4"/>
    <w:rsid w:val="00C0168B"/>
    <w:pPr>
      <w:spacing w:before="240"/>
      <w:outlineLvl w:val="9"/>
    </w:pPr>
    <w:rPr>
      <w:noProof/>
      <w:sz w:val="24"/>
    </w:rPr>
  </w:style>
  <w:style w:type="paragraph" w:customStyle="1" w:styleId="MiniTOCItem">
    <w:name w:val="MiniTOCItem"/>
    <w:basedOn w:val="ListBullet"/>
    <w:rsid w:val="00C0168B"/>
    <w:pPr>
      <w:numPr>
        <w:numId w:val="0"/>
      </w:numPr>
      <w:tabs>
        <w:tab w:val="right" w:leader="dot" w:pos="6521"/>
      </w:tabs>
      <w:spacing w:before="0" w:after="0"/>
    </w:pPr>
  </w:style>
  <w:style w:type="paragraph" w:customStyle="1" w:styleId="TOFTitle">
    <w:name w:val="TOFTitle"/>
    <w:basedOn w:val="TOCTitle"/>
    <w:rsid w:val="00C0168B"/>
  </w:style>
  <w:style w:type="paragraph" w:styleId="TableofFigures">
    <w:name w:val="table of figures"/>
    <w:basedOn w:val="Normal"/>
    <w:next w:val="Normal"/>
    <w:semiHidden/>
    <w:rsid w:val="00C0168B"/>
    <w:pPr>
      <w:tabs>
        <w:tab w:val="right" w:leader="dot" w:pos="9072"/>
      </w:tabs>
      <w:ind w:left="970" w:hanging="403"/>
    </w:pPr>
    <w:rPr>
      <w:rFonts w:ascii="Times New Roman" w:hAnsi="Times New Roman"/>
      <w:b/>
    </w:rPr>
  </w:style>
  <w:style w:type="paragraph" w:styleId="ListNumber">
    <w:name w:val="List Number"/>
    <w:basedOn w:val="List"/>
    <w:rsid w:val="00C0168B"/>
    <w:pPr>
      <w:numPr>
        <w:numId w:val="15"/>
      </w:numPr>
      <w:tabs>
        <w:tab w:val="clear" w:pos="340"/>
      </w:tabs>
    </w:pPr>
  </w:style>
  <w:style w:type="character" w:customStyle="1" w:styleId="WingdingSymbols">
    <w:name w:val="Wingding Symbols"/>
    <w:rsid w:val="00C0168B"/>
    <w:rPr>
      <w:rFonts w:ascii="Wingdings" w:hAnsi="Wingdings"/>
    </w:rPr>
  </w:style>
  <w:style w:type="paragraph" w:customStyle="1" w:styleId="TableHeading">
    <w:name w:val="Table Heading"/>
    <w:basedOn w:val="HeadingBase"/>
    <w:rsid w:val="00C0168B"/>
    <w:pPr>
      <w:keepLines/>
      <w:pBdr>
        <w:bottom w:val="single" w:sz="6" w:space="1" w:color="918585"/>
      </w:pBdr>
      <w:spacing w:before="240"/>
    </w:pPr>
  </w:style>
  <w:style w:type="character" w:customStyle="1" w:styleId="HotSpot">
    <w:name w:val="HotSpot"/>
    <w:rsid w:val="00C0168B"/>
    <w:rPr>
      <w:color w:val="0033CC"/>
      <w:u w:val="none"/>
    </w:rPr>
  </w:style>
  <w:style w:type="paragraph" w:customStyle="1" w:styleId="BodyTextRight">
    <w:name w:val="Body Text Right"/>
    <w:basedOn w:val="BodyText"/>
    <w:rsid w:val="00C0168B"/>
    <w:pPr>
      <w:spacing w:before="0" w:after="0"/>
      <w:jc w:val="right"/>
    </w:pPr>
  </w:style>
  <w:style w:type="paragraph" w:styleId="Index3">
    <w:name w:val="index 3"/>
    <w:basedOn w:val="ListNumber2"/>
    <w:next w:val="Normal"/>
    <w:semiHidden/>
    <w:rsid w:val="00C0168B"/>
    <w:pPr>
      <w:numPr>
        <w:numId w:val="0"/>
      </w:numPr>
      <w:tabs>
        <w:tab w:val="right" w:leader="dot" w:pos="4176"/>
      </w:tabs>
    </w:pPr>
  </w:style>
  <w:style w:type="paragraph" w:styleId="ListNumber2">
    <w:name w:val="List Number 2"/>
    <w:basedOn w:val="List2"/>
    <w:rsid w:val="00C0168B"/>
    <w:pPr>
      <w:numPr>
        <w:numId w:val="10"/>
      </w:numPr>
      <w:tabs>
        <w:tab w:val="clear" w:pos="1060"/>
      </w:tabs>
    </w:pPr>
  </w:style>
  <w:style w:type="paragraph" w:customStyle="1" w:styleId="MarginNote">
    <w:name w:val="Margin Note"/>
    <w:basedOn w:val="BodyText"/>
    <w:rsid w:val="00C016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16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16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168B"/>
    <w:rPr>
      <w:sz w:val="32"/>
    </w:rPr>
  </w:style>
  <w:style w:type="paragraph" w:customStyle="1" w:styleId="HeadingProcedure">
    <w:name w:val="Heading Procedure"/>
    <w:basedOn w:val="HeadingBase"/>
    <w:next w:val="Normal"/>
    <w:rsid w:val="00C0168B"/>
    <w:pPr>
      <w:tabs>
        <w:tab w:val="left" w:pos="0"/>
      </w:tabs>
      <w:spacing w:before="120" w:after="60"/>
    </w:pPr>
    <w:rPr>
      <w:i/>
      <w:color w:val="918585"/>
      <w:sz w:val="22"/>
    </w:rPr>
  </w:style>
  <w:style w:type="paragraph" w:customStyle="1" w:styleId="TableBodyText">
    <w:name w:val="Table Body Text"/>
    <w:basedOn w:val="BodyText"/>
    <w:rsid w:val="00C0168B"/>
    <w:pPr>
      <w:spacing w:before="60" w:after="60"/>
    </w:pPr>
  </w:style>
  <w:style w:type="paragraph" w:styleId="ListContinue">
    <w:name w:val="List Continue"/>
    <w:basedOn w:val="List"/>
    <w:rsid w:val="00C0168B"/>
    <w:pPr>
      <w:ind w:firstLine="0"/>
    </w:pPr>
  </w:style>
  <w:style w:type="paragraph" w:customStyle="1" w:styleId="ListNote">
    <w:name w:val="List Note"/>
    <w:basedOn w:val="List"/>
    <w:rsid w:val="00C0168B"/>
    <w:pPr>
      <w:pBdr>
        <w:top w:val="single" w:sz="6" w:space="2" w:color="918585"/>
        <w:bottom w:val="single" w:sz="6" w:space="2" w:color="918585"/>
      </w:pBdr>
      <w:tabs>
        <w:tab w:val="left" w:pos="1021"/>
      </w:tabs>
      <w:ind w:firstLine="0"/>
    </w:pPr>
  </w:style>
  <w:style w:type="paragraph" w:customStyle="1" w:styleId="Warning">
    <w:name w:val="Warning"/>
    <w:basedOn w:val="BodyText"/>
    <w:rsid w:val="00C0168B"/>
    <w:pPr>
      <w:shd w:val="clear" w:color="auto" w:fill="D9D9D9"/>
      <w:tabs>
        <w:tab w:val="left" w:pos="992"/>
      </w:tabs>
      <w:ind w:left="119" w:right="119"/>
    </w:pPr>
    <w:rPr>
      <w:sz w:val="20"/>
    </w:rPr>
  </w:style>
  <w:style w:type="paragraph" w:customStyle="1" w:styleId="MarginIcons">
    <w:name w:val="Margin Icons"/>
    <w:basedOn w:val="BodyText"/>
    <w:rsid w:val="00C016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168B"/>
    <w:rPr>
      <w:rFonts w:ascii="Courier New" w:hAnsi="Courier New"/>
    </w:rPr>
  </w:style>
  <w:style w:type="paragraph" w:customStyle="1" w:styleId="NoteBullet">
    <w:name w:val="Note Bullet"/>
    <w:basedOn w:val="Note"/>
    <w:rsid w:val="00C0168B"/>
    <w:pPr>
      <w:tabs>
        <w:tab w:val="clear" w:pos="680"/>
      </w:tabs>
      <w:spacing w:before="60" w:after="60"/>
    </w:pPr>
  </w:style>
  <w:style w:type="paragraph" w:customStyle="1" w:styleId="SubHeading2">
    <w:name w:val="SubHeading2"/>
    <w:basedOn w:val="HeadingBase"/>
    <w:rsid w:val="00C0168B"/>
    <w:pPr>
      <w:spacing w:before="240" w:after="60"/>
    </w:pPr>
    <w:rPr>
      <w:sz w:val="20"/>
    </w:rPr>
  </w:style>
  <w:style w:type="paragraph" w:customStyle="1" w:styleId="SubHeading1">
    <w:name w:val="SubHeading1"/>
    <w:basedOn w:val="HeadingBase"/>
    <w:rsid w:val="00C0168B"/>
    <w:pPr>
      <w:spacing w:before="240" w:after="60"/>
    </w:pPr>
    <w:rPr>
      <w:color w:val="918585"/>
      <w:sz w:val="22"/>
    </w:rPr>
  </w:style>
  <w:style w:type="paragraph" w:customStyle="1" w:styleId="SideHeading">
    <w:name w:val="Side Heading"/>
    <w:basedOn w:val="HeadingBase"/>
    <w:rsid w:val="00C016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168B"/>
    <w:pPr>
      <w:tabs>
        <w:tab w:val="num" w:pos="360"/>
      </w:tabs>
    </w:pPr>
  </w:style>
  <w:style w:type="paragraph" w:styleId="PlainText">
    <w:name w:val="Plain Text"/>
    <w:basedOn w:val="Normal"/>
    <w:link w:val="PlainTextChar"/>
    <w:rsid w:val="00C0168B"/>
    <w:rPr>
      <w:sz w:val="20"/>
    </w:rPr>
  </w:style>
  <w:style w:type="character" w:customStyle="1" w:styleId="PlainTextChar">
    <w:name w:val="Plain Text Char"/>
    <w:basedOn w:val="DefaultParagraphFont"/>
    <w:link w:val="PlainText"/>
    <w:rsid w:val="00C0168B"/>
    <w:rPr>
      <w:rFonts w:ascii="Courier New" w:eastAsia="Times New Roman" w:hAnsi="Courier New" w:cs="Times New Roman"/>
      <w:sz w:val="20"/>
      <w:szCs w:val="20"/>
      <w:lang w:eastAsia="en-US"/>
    </w:rPr>
  </w:style>
  <w:style w:type="character" w:customStyle="1" w:styleId="MenuOption">
    <w:name w:val="Menu Option"/>
    <w:basedOn w:val="DefaultParagraphFont"/>
    <w:rsid w:val="00C0168B"/>
    <w:rPr>
      <w:b/>
      <w:smallCaps/>
    </w:rPr>
  </w:style>
  <w:style w:type="paragraph" w:customStyle="1" w:styleId="TableListNumber">
    <w:name w:val="Table List Number"/>
    <w:basedOn w:val="ListNumber"/>
    <w:rsid w:val="00C0168B"/>
    <w:pPr>
      <w:numPr>
        <w:numId w:val="0"/>
      </w:numPr>
    </w:pPr>
  </w:style>
  <w:style w:type="paragraph" w:styleId="TOC4">
    <w:name w:val="toc 4"/>
    <w:basedOn w:val="TOCBase"/>
    <w:next w:val="Normal"/>
    <w:semiHidden/>
    <w:rsid w:val="00C0168B"/>
    <w:pPr>
      <w:tabs>
        <w:tab w:val="right" w:leader="dot" w:pos="9071"/>
      </w:tabs>
      <w:ind w:left="1701"/>
    </w:pPr>
  </w:style>
  <w:style w:type="paragraph" w:customStyle="1" w:styleId="ListAlpha">
    <w:name w:val="List Alpha"/>
    <w:basedOn w:val="List"/>
    <w:rsid w:val="00C0168B"/>
    <w:pPr>
      <w:numPr>
        <w:numId w:val="9"/>
      </w:numPr>
    </w:pPr>
  </w:style>
  <w:style w:type="paragraph" w:customStyle="1" w:styleId="ListAlpha2">
    <w:name w:val="List Alpha 2"/>
    <w:basedOn w:val="List2"/>
    <w:rsid w:val="00C0168B"/>
    <w:pPr>
      <w:numPr>
        <w:numId w:val="8"/>
      </w:numPr>
    </w:pPr>
  </w:style>
  <w:style w:type="paragraph" w:styleId="List2">
    <w:name w:val="List 2"/>
    <w:basedOn w:val="BodyText"/>
    <w:rsid w:val="00C0168B"/>
    <w:pPr>
      <w:tabs>
        <w:tab w:val="left" w:pos="680"/>
      </w:tabs>
      <w:spacing w:before="60" w:after="60"/>
      <w:ind w:left="680" w:hanging="340"/>
    </w:pPr>
  </w:style>
  <w:style w:type="paragraph" w:styleId="List3">
    <w:name w:val="List 3"/>
    <w:basedOn w:val="BodyText"/>
    <w:rsid w:val="00C0168B"/>
    <w:pPr>
      <w:tabs>
        <w:tab w:val="left" w:pos="1021"/>
      </w:tabs>
      <w:spacing w:before="60" w:after="60"/>
      <w:ind w:left="1020" w:hanging="340"/>
    </w:pPr>
  </w:style>
  <w:style w:type="paragraph" w:styleId="List4">
    <w:name w:val="List 4"/>
    <w:basedOn w:val="BodyText"/>
    <w:rsid w:val="00C0168B"/>
    <w:pPr>
      <w:tabs>
        <w:tab w:val="left" w:pos="1361"/>
      </w:tabs>
      <w:spacing w:before="60" w:after="60"/>
      <w:ind w:left="1361" w:hanging="340"/>
    </w:pPr>
  </w:style>
  <w:style w:type="paragraph" w:styleId="List5">
    <w:name w:val="List 5"/>
    <w:basedOn w:val="BodyText"/>
    <w:rsid w:val="00C0168B"/>
    <w:pPr>
      <w:tabs>
        <w:tab w:val="left" w:pos="1701"/>
      </w:tabs>
      <w:spacing w:before="60" w:after="60"/>
      <w:ind w:left="1701" w:hanging="340"/>
    </w:pPr>
  </w:style>
  <w:style w:type="paragraph" w:styleId="ListBullet3">
    <w:name w:val="List Bullet 3"/>
    <w:basedOn w:val="List3"/>
    <w:rsid w:val="00C0168B"/>
    <w:pPr>
      <w:numPr>
        <w:numId w:val="14"/>
      </w:numPr>
      <w:tabs>
        <w:tab w:val="clear" w:pos="1021"/>
      </w:tabs>
      <w:ind w:left="1037" w:hanging="357"/>
    </w:pPr>
  </w:style>
  <w:style w:type="paragraph" w:styleId="ListBullet4">
    <w:name w:val="List Bullet 4"/>
    <w:basedOn w:val="List4"/>
    <w:rsid w:val="00C0168B"/>
    <w:pPr>
      <w:numPr>
        <w:numId w:val="3"/>
      </w:numPr>
      <w:tabs>
        <w:tab w:val="clear" w:pos="1361"/>
      </w:tabs>
    </w:pPr>
  </w:style>
  <w:style w:type="paragraph" w:styleId="ListBullet5">
    <w:name w:val="List Bullet 5"/>
    <w:basedOn w:val="List5"/>
    <w:rsid w:val="00C0168B"/>
    <w:pPr>
      <w:numPr>
        <w:numId w:val="4"/>
      </w:numPr>
    </w:pPr>
  </w:style>
  <w:style w:type="paragraph" w:styleId="ListContinue2">
    <w:name w:val="List Continue 2"/>
    <w:basedOn w:val="List2"/>
    <w:rsid w:val="00C0168B"/>
    <w:pPr>
      <w:ind w:firstLine="0"/>
    </w:pPr>
  </w:style>
  <w:style w:type="paragraph" w:styleId="ListContinue3">
    <w:name w:val="List Continue 3"/>
    <w:basedOn w:val="List3"/>
    <w:rsid w:val="00C0168B"/>
    <w:pPr>
      <w:ind w:left="1021" w:firstLine="0"/>
    </w:pPr>
  </w:style>
  <w:style w:type="paragraph" w:styleId="ListContinue4">
    <w:name w:val="List Continue 4"/>
    <w:basedOn w:val="List4"/>
    <w:rsid w:val="00C0168B"/>
    <w:pPr>
      <w:ind w:firstLine="0"/>
    </w:pPr>
  </w:style>
  <w:style w:type="paragraph" w:styleId="ListContinue5">
    <w:name w:val="List Continue 5"/>
    <w:basedOn w:val="List5"/>
    <w:rsid w:val="00C0168B"/>
    <w:pPr>
      <w:ind w:firstLine="0"/>
    </w:pPr>
  </w:style>
  <w:style w:type="paragraph" w:styleId="ListNumber3">
    <w:name w:val="List Number 3"/>
    <w:basedOn w:val="List3"/>
    <w:rsid w:val="00C0168B"/>
    <w:pPr>
      <w:numPr>
        <w:numId w:val="5"/>
      </w:numPr>
    </w:pPr>
  </w:style>
  <w:style w:type="paragraph" w:styleId="ListNumber4">
    <w:name w:val="List Number 4"/>
    <w:basedOn w:val="List4"/>
    <w:rsid w:val="00C0168B"/>
    <w:pPr>
      <w:numPr>
        <w:numId w:val="6"/>
      </w:numPr>
    </w:pPr>
  </w:style>
  <w:style w:type="paragraph" w:styleId="ListNumber5">
    <w:name w:val="List Number 5"/>
    <w:basedOn w:val="List5"/>
    <w:rsid w:val="00C0168B"/>
    <w:pPr>
      <w:numPr>
        <w:numId w:val="7"/>
      </w:numPr>
    </w:pPr>
  </w:style>
  <w:style w:type="paragraph" w:styleId="BlockText">
    <w:name w:val="Block Text"/>
    <w:basedOn w:val="Normal"/>
    <w:rsid w:val="00C0168B"/>
    <w:pPr>
      <w:spacing w:after="120"/>
      <w:ind w:left="1440" w:right="1440"/>
    </w:pPr>
  </w:style>
  <w:style w:type="character" w:customStyle="1" w:styleId="Subscript">
    <w:name w:val="Subscript"/>
    <w:basedOn w:val="DefaultParagraphFont"/>
    <w:rsid w:val="00C0168B"/>
    <w:rPr>
      <w:sz w:val="16"/>
      <w:vertAlign w:val="subscript"/>
    </w:rPr>
  </w:style>
  <w:style w:type="character" w:customStyle="1" w:styleId="Superscript">
    <w:name w:val="Superscript"/>
    <w:basedOn w:val="DefaultParagraphFont"/>
    <w:rsid w:val="00C0168B"/>
    <w:rPr>
      <w:sz w:val="16"/>
      <w:vertAlign w:val="superscript"/>
    </w:rPr>
  </w:style>
  <w:style w:type="character" w:customStyle="1" w:styleId="MenuOptions">
    <w:name w:val="Menu Options"/>
    <w:basedOn w:val="DefaultParagraphFont"/>
    <w:rsid w:val="00C0168B"/>
    <w:rPr>
      <w:rFonts w:ascii="Arial Narrow" w:hAnsi="Arial Narrow"/>
      <w:smallCaps/>
    </w:rPr>
  </w:style>
  <w:style w:type="character" w:customStyle="1" w:styleId="Buttons">
    <w:name w:val="Buttons"/>
    <w:basedOn w:val="DefaultParagraphFont"/>
    <w:rsid w:val="00C0168B"/>
    <w:rPr>
      <w:b/>
    </w:rPr>
  </w:style>
  <w:style w:type="character" w:customStyle="1" w:styleId="Underlined">
    <w:name w:val="Underlined"/>
    <w:basedOn w:val="DefaultParagraphFont"/>
    <w:rsid w:val="00C0168B"/>
    <w:rPr>
      <w:u w:val="single"/>
    </w:rPr>
  </w:style>
  <w:style w:type="paragraph" w:customStyle="1" w:styleId="TableBodyTextRight">
    <w:name w:val="Table Body Text Right"/>
    <w:basedOn w:val="TableBodyText"/>
    <w:rsid w:val="00C0168B"/>
    <w:pPr>
      <w:widowControl w:val="0"/>
      <w:autoSpaceDE w:val="0"/>
      <w:autoSpaceDN w:val="0"/>
      <w:adjustRightInd w:val="0"/>
      <w:jc w:val="right"/>
    </w:pPr>
    <w:rPr>
      <w:rFonts w:cs="Arial"/>
      <w:szCs w:val="18"/>
    </w:rPr>
  </w:style>
  <w:style w:type="paragraph" w:customStyle="1" w:styleId="CopyrightText">
    <w:name w:val="Copyright Text"/>
    <w:basedOn w:val="BodyText"/>
    <w:rsid w:val="00C0168B"/>
    <w:rPr>
      <w:sz w:val="18"/>
    </w:rPr>
  </w:style>
  <w:style w:type="paragraph" w:customStyle="1" w:styleId="BodySmallRight">
    <w:name w:val="Body Small Right"/>
    <w:basedOn w:val="BodyTextRight"/>
    <w:rsid w:val="00C0168B"/>
    <w:rPr>
      <w:sz w:val="18"/>
      <w:szCs w:val="18"/>
    </w:rPr>
  </w:style>
  <w:style w:type="paragraph" w:customStyle="1" w:styleId="MarginEdition">
    <w:name w:val="Margin Edition"/>
    <w:basedOn w:val="MarginNote"/>
    <w:rsid w:val="00C0168B"/>
    <w:pPr>
      <w:spacing w:before="0" w:after="0"/>
    </w:pPr>
    <w:rPr>
      <w:rFonts w:ascii="Times New Roman" w:hAnsi="Times New Roman"/>
      <w:color w:val="999999"/>
    </w:rPr>
  </w:style>
  <w:style w:type="paragraph" w:customStyle="1" w:styleId="Spacer">
    <w:name w:val="Spacer"/>
    <w:basedOn w:val="Normal"/>
    <w:rsid w:val="00C0168B"/>
    <w:rPr>
      <w:sz w:val="2"/>
      <w:szCs w:val="2"/>
    </w:rPr>
  </w:style>
  <w:style w:type="character" w:customStyle="1" w:styleId="Small">
    <w:name w:val="Small"/>
    <w:basedOn w:val="DefaultParagraphFont"/>
    <w:rsid w:val="00C0168B"/>
    <w:rPr>
      <w:sz w:val="16"/>
    </w:rPr>
  </w:style>
  <w:style w:type="paragraph" w:customStyle="1" w:styleId="WideTable">
    <w:name w:val="Wide Table"/>
    <w:basedOn w:val="Normal"/>
    <w:rsid w:val="00C0168B"/>
    <w:pPr>
      <w:ind w:left="-1418"/>
    </w:pPr>
    <w:rPr>
      <w:sz w:val="2"/>
      <w:szCs w:val="2"/>
    </w:rPr>
  </w:style>
  <w:style w:type="character" w:styleId="PageNumber">
    <w:name w:val="page number"/>
    <w:basedOn w:val="DefaultParagraphFont"/>
    <w:rsid w:val="00C0168B"/>
  </w:style>
  <w:style w:type="paragraph" w:styleId="Quote">
    <w:name w:val="Quote"/>
    <w:basedOn w:val="Heading1"/>
    <w:link w:val="QuoteChar"/>
    <w:qFormat/>
    <w:rsid w:val="00C0168B"/>
    <w:rPr>
      <w:b w:val="0"/>
      <w:sz w:val="72"/>
      <w:szCs w:val="72"/>
      <w:lang w:val="en-NZ"/>
    </w:rPr>
  </w:style>
  <w:style w:type="character" w:customStyle="1" w:styleId="QuoteChar">
    <w:name w:val="Quote Char"/>
    <w:basedOn w:val="DefaultParagraphFont"/>
    <w:link w:val="Quote"/>
    <w:rsid w:val="00C016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168B"/>
    <w:pPr>
      <w:pageBreakBefore/>
    </w:pPr>
  </w:style>
  <w:style w:type="paragraph" w:customStyle="1" w:styleId="Border">
    <w:name w:val="Border"/>
    <w:basedOn w:val="Normal"/>
    <w:qFormat/>
    <w:rsid w:val="00C016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168B"/>
    <w:rPr>
      <w:b/>
      <w:bCs/>
      <w:i/>
      <w:iCs/>
      <w:color w:val="auto"/>
    </w:rPr>
  </w:style>
  <w:style w:type="paragraph" w:styleId="IntenseQuote">
    <w:name w:val="Intense Quote"/>
    <w:basedOn w:val="Normal"/>
    <w:next w:val="Normal"/>
    <w:link w:val="IntenseQuoteChar"/>
    <w:uiPriority w:val="30"/>
    <w:qFormat/>
    <w:rsid w:val="00C016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16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168B"/>
    <w:rPr>
      <w:smallCaps/>
      <w:color w:val="auto"/>
      <w:u w:val="single"/>
    </w:rPr>
  </w:style>
  <w:style w:type="character" w:styleId="IntenseReference">
    <w:name w:val="Intense Reference"/>
    <w:basedOn w:val="DefaultParagraphFont"/>
    <w:uiPriority w:val="32"/>
    <w:qFormat/>
    <w:rsid w:val="00C0168B"/>
    <w:rPr>
      <w:b/>
      <w:bCs/>
      <w:smallCaps/>
      <w:color w:val="auto"/>
      <w:spacing w:val="5"/>
      <w:u w:val="single"/>
    </w:rPr>
  </w:style>
  <w:style w:type="paragraph" w:customStyle="1" w:styleId="2ColumnHeading">
    <w:name w:val="2Column Heading"/>
    <w:basedOn w:val="BodyText"/>
    <w:qFormat/>
    <w:rsid w:val="00C0168B"/>
    <w:pPr>
      <w:spacing w:after="60"/>
      <w:ind w:left="-2268"/>
    </w:pPr>
    <w:rPr>
      <w:b/>
    </w:rPr>
  </w:style>
  <w:style w:type="paragraph" w:customStyle="1" w:styleId="Heading1TOC">
    <w:name w:val="Heading1 TOC"/>
    <w:basedOn w:val="Normal"/>
    <w:qFormat/>
    <w:rsid w:val="00C0168B"/>
    <w:pPr>
      <w:spacing w:before="240" w:after="120"/>
    </w:pPr>
    <w:rPr>
      <w:rFonts w:ascii="Times New Roman" w:hAnsi="Times New Roman"/>
      <w:b/>
      <w:sz w:val="32"/>
    </w:rPr>
  </w:style>
  <w:style w:type="paragraph" w:customStyle="1" w:styleId="Heading2TOC">
    <w:name w:val="Heading2 TOC"/>
    <w:basedOn w:val="Normal"/>
    <w:qFormat/>
    <w:rsid w:val="00C0168B"/>
    <w:pPr>
      <w:spacing w:before="240" w:after="60"/>
    </w:pPr>
    <w:rPr>
      <w:rFonts w:ascii="Times New Roman" w:hAnsi="Times New Roman"/>
      <w:b/>
      <w:sz w:val="28"/>
    </w:rPr>
  </w:style>
  <w:style w:type="character" w:customStyle="1" w:styleId="Underline">
    <w:name w:val="Underline"/>
    <w:basedOn w:val="DefaultParagraphFont"/>
    <w:qFormat/>
    <w:rsid w:val="00C0168B"/>
    <w:rPr>
      <w:u w:val="single"/>
    </w:rPr>
  </w:style>
  <w:style w:type="character" w:customStyle="1" w:styleId="BoldandItalics">
    <w:name w:val="Bold and Italics"/>
    <w:qFormat/>
    <w:rsid w:val="00C0168B"/>
    <w:rPr>
      <w:b/>
      <w:i/>
      <w:u w:val="none"/>
    </w:rPr>
  </w:style>
  <w:style w:type="paragraph" w:styleId="BalloonText">
    <w:name w:val="Balloon Text"/>
    <w:basedOn w:val="Normal"/>
    <w:link w:val="BalloonTextChar"/>
    <w:rsid w:val="00C0168B"/>
    <w:rPr>
      <w:rFonts w:ascii="Tahoma" w:hAnsi="Tahoma" w:cs="Tahoma"/>
      <w:sz w:val="16"/>
      <w:szCs w:val="16"/>
    </w:rPr>
  </w:style>
  <w:style w:type="character" w:customStyle="1" w:styleId="BalloonTextChar">
    <w:name w:val="Balloon Text Char"/>
    <w:basedOn w:val="DefaultParagraphFont"/>
    <w:link w:val="BalloonText"/>
    <w:rsid w:val="00C016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16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16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168B"/>
    <w:rPr>
      <w:b/>
      <w:color w:val="660033"/>
      <w:spacing w:val="0"/>
    </w:rPr>
  </w:style>
  <w:style w:type="paragraph" w:customStyle="1" w:styleId="Nameditemlist">
    <w:name w:val="Named item list"/>
    <w:basedOn w:val="BodyText"/>
    <w:qFormat/>
    <w:rsid w:val="00C0168B"/>
    <w:pPr>
      <w:tabs>
        <w:tab w:val="left" w:pos="2835"/>
      </w:tabs>
      <w:ind w:left="2835" w:hanging="2835"/>
    </w:pPr>
  </w:style>
  <w:style w:type="paragraph" w:customStyle="1" w:styleId="BodyTextnopadding">
    <w:name w:val="Body Text no padding"/>
    <w:basedOn w:val="BodyText"/>
    <w:qFormat/>
    <w:rsid w:val="00C0168B"/>
    <w:pPr>
      <w:spacing w:before="0" w:after="0"/>
    </w:pPr>
  </w:style>
  <w:style w:type="paragraph" w:customStyle="1" w:styleId="BodyTextBold">
    <w:name w:val="Body Text Bold"/>
    <w:basedOn w:val="BodyText"/>
    <w:qFormat/>
    <w:rsid w:val="00C0168B"/>
    <w:rPr>
      <w:b/>
    </w:rPr>
  </w:style>
  <w:style w:type="character" w:styleId="Hyperlink">
    <w:name w:val="Hyperlink"/>
    <w:basedOn w:val="DefaultParagraphFont"/>
    <w:uiPriority w:val="99"/>
    <w:unhideWhenUsed/>
    <w:rsid w:val="004911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1933</Words>
  <Characters>12587</Characters>
  <Application>Microsoft Office Word</Application>
  <DocSecurity>0</DocSecurity>
  <Lines>406</Lines>
  <Paragraphs>238</Paragraphs>
  <ScaleCrop>false</ScaleCrop>
  <Company>Author-it Software Corporation Ltd.</Company>
  <LinksUpToDate>false</LinksUpToDate>
  <CharactersWithSpaces>14282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MSL954002 Prepare mineral samples for analysis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2025-03-01T22:35:00Z</dcterms:created>
  <dcterms:modified xsi:type="dcterms:W3CDTF">2025-03-01T22:35:00Z</dcterms:modified>
</cp:coreProperties>
</file>