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1EA" w:rsidP="00E94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MSL954002 Prepare mineral samples for analysis</w:t>
      </w:r>
      <w:r>
        <w:fldChar w:fldCharType="end"/>
      </w:r>
    </w:p>
    <w:p w:rsidR="00E941EA" w:rsidP="00E941EA">
      <w:pPr>
        <w:pStyle w:val="Version"/>
        <w:sectPr w:rsidSect="00322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428" w:rsidP="00322428">
      <w:pPr>
        <w:pStyle w:val="SuperHeading"/>
      </w:pPr>
      <w:r w:rsidRPr="00322428">
        <w:t>Assessment Requirements for MSL954002 Prepare mineral samples for analysis</w:t>
      </w:r>
    </w:p>
    <w:p w:rsidR="00000000" w:rsidRPr="00322428" w:rsidP="00322428">
      <w:pPr>
        <w:pStyle w:val="Heading1"/>
      </w:pPr>
      <w:bookmarkStart w:id="1" w:name="O_902955"/>
      <w:bookmarkEnd w:id="1"/>
      <w:r w:rsidRPr="00322428">
        <w:t>Modification History</w:t>
      </w:r>
    </w:p>
    <w:p w:rsidR="00000000" w:rsidRPr="00322428" w:rsidP="00322428">
      <w:pPr>
        <w:pStyle w:val="BodyText"/>
      </w:pPr>
      <w:r w:rsidRPr="00322428">
        <w:t xml:space="preserve">Release 1. Supersedes and is equivalent to MSL954002A Prepare mineral samples for analysis  </w:t>
      </w:r>
    </w:p>
    <w:p w:rsidR="00000000" w:rsidRPr="00322428" w:rsidP="00322428">
      <w:pPr>
        <w:pStyle w:val="AllowPageBreak"/>
      </w:pPr>
    </w:p>
    <w:p w:rsidR="00000000" w:rsidRPr="00322428" w:rsidP="00322428">
      <w:pPr>
        <w:pStyle w:val="Heading1"/>
      </w:pPr>
      <w:bookmarkStart w:id="2" w:name="O_902958"/>
      <w:bookmarkEnd w:id="2"/>
      <w:r w:rsidRPr="00322428">
        <w:t>Performance Evidence</w:t>
      </w:r>
    </w:p>
    <w:p w:rsidR="00000000" w:rsidRPr="00322428" w:rsidP="00322428">
      <w:pPr>
        <w:pStyle w:val="BodyText"/>
      </w:pPr>
      <w:r w:rsidRPr="00322428">
        <w:t>Evidence of competence in this unit must satisfy all of the requirements of the elements and performance criteria, and include demonstration of:</w:t>
      </w:r>
    </w:p>
    <w:p w:rsidR="00000000" w:rsidRPr="00322428" w:rsidP="00322428">
      <w:pPr>
        <w:pStyle w:val="ListBullet"/>
      </w:pPr>
      <w:r w:rsidRPr="00322428">
        <w:t>safely reducing at least three (3) types of mineral samples to representative samples and preparing analytical</w:t>
      </w:r>
      <w:r w:rsidRPr="00322428">
        <w:t xml:space="preserve"> portions of each that meet client requirements for analysis:</w:t>
      </w:r>
    </w:p>
    <w:p w:rsidR="00000000" w:rsidRPr="00322428" w:rsidP="00322428">
      <w:pPr>
        <w:pStyle w:val="ListBullet"/>
      </w:pPr>
      <w:r w:rsidRPr="00322428">
        <w:t>representative</w:t>
      </w:r>
    </w:p>
    <w:p w:rsidR="00000000" w:rsidRPr="00322428" w:rsidP="00322428">
      <w:pPr>
        <w:pStyle w:val="ListBullet"/>
      </w:pPr>
      <w:r w:rsidRPr="00322428">
        <w:t>free of contamination</w:t>
      </w:r>
    </w:p>
    <w:p w:rsidR="00000000" w:rsidRPr="00322428" w:rsidP="00322428">
      <w:pPr>
        <w:pStyle w:val="ListBullet"/>
      </w:pPr>
      <w:r w:rsidRPr="00322428">
        <w:t>of specified quantity and particle size</w:t>
      </w:r>
    </w:p>
    <w:p w:rsidR="00000000" w:rsidRPr="00322428" w:rsidP="00322428">
      <w:pPr>
        <w:pStyle w:val="ListBullet"/>
      </w:pPr>
      <w:r w:rsidRPr="00322428">
        <w:t>ready for analysis</w:t>
      </w:r>
    </w:p>
    <w:p w:rsidR="00000000" w:rsidRPr="00322428" w:rsidP="00322428">
      <w:pPr>
        <w:pStyle w:val="ListBullet"/>
      </w:pPr>
      <w:r w:rsidRPr="00322428">
        <w:t>interpreting and closely following preparation methods</w:t>
      </w:r>
    </w:p>
    <w:p w:rsidR="00000000" w:rsidRPr="00322428" w:rsidP="00322428">
      <w:pPr>
        <w:pStyle w:val="ListBullet"/>
      </w:pPr>
      <w:r w:rsidRPr="00322428">
        <w:t>achieving the required sample throughput</w:t>
      </w:r>
    </w:p>
    <w:p w:rsidR="00000000" w:rsidRPr="00322428" w:rsidP="00322428">
      <w:pPr>
        <w:pStyle w:val="ListBullet"/>
      </w:pPr>
      <w:r w:rsidRPr="00322428">
        <w:t>re</w:t>
      </w:r>
      <w:r w:rsidRPr="00322428">
        <w:t>cognising problems and invalid preparation steps and taking appropriate corrective actions</w:t>
      </w:r>
    </w:p>
    <w:p w:rsidR="00000000" w:rsidRPr="00322428" w:rsidP="00322428">
      <w:pPr>
        <w:pStyle w:val="ListBullet"/>
      </w:pPr>
      <w:r w:rsidRPr="00322428">
        <w:t>recognising limitations and seeking timely advice</w:t>
      </w:r>
    </w:p>
    <w:p w:rsidR="00000000" w:rsidRPr="00322428" w:rsidP="00322428">
      <w:pPr>
        <w:pStyle w:val="ListBullet"/>
      </w:pPr>
      <w:r w:rsidRPr="00322428">
        <w:t>minimising rework, waste and environmental impact</w:t>
      </w:r>
    </w:p>
    <w:p w:rsidR="00000000" w:rsidRPr="00322428" w:rsidP="00322428">
      <w:pPr>
        <w:pStyle w:val="ListBullet"/>
      </w:pPr>
      <w:r w:rsidRPr="00322428">
        <w:t>completing preparation and production documentation accurately</w:t>
      </w:r>
    </w:p>
    <w:p w:rsidR="00000000" w:rsidRPr="00322428" w:rsidP="00322428">
      <w:pPr>
        <w:pStyle w:val="ListBullet"/>
      </w:pPr>
      <w:r w:rsidRPr="00322428">
        <w:t>ma</w:t>
      </w:r>
      <w:r w:rsidRPr="00322428">
        <w:t>intaining equipment/reagents and disposing of all waste, surplus and spent samples according to workplace procedures</w:t>
      </w:r>
    </w:p>
    <w:p w:rsidR="00000000" w:rsidRPr="00322428" w:rsidP="00322428">
      <w:pPr>
        <w:pStyle w:val="ListBullet"/>
      </w:pPr>
      <w:r w:rsidRPr="00322428">
        <w:t>recognising hazards and using specified safety equipment and safe work procedures at all times.</w:t>
      </w:r>
    </w:p>
    <w:p w:rsidR="00000000" w:rsidRPr="00322428" w:rsidP="00322428">
      <w:pPr>
        <w:pStyle w:val="AllowPageBreak"/>
      </w:pPr>
    </w:p>
    <w:p w:rsidR="00000000" w:rsidRPr="00322428" w:rsidP="00322428">
      <w:pPr>
        <w:pStyle w:val="Heading1"/>
      </w:pPr>
      <w:bookmarkStart w:id="3" w:name="O_902957"/>
      <w:bookmarkEnd w:id="3"/>
      <w:r w:rsidRPr="00322428">
        <w:t>Knowledge Evidence</w:t>
      </w:r>
    </w:p>
    <w:p w:rsidR="00000000" w:rsidRPr="00322428" w:rsidP="00322428">
      <w:pPr>
        <w:pStyle w:val="BodyText"/>
      </w:pPr>
      <w:r w:rsidRPr="00322428">
        <w:t>Must provide evidence that demonstrates knowledge of:</w:t>
      </w:r>
    </w:p>
    <w:p w:rsidR="00000000" w:rsidRPr="00322428" w:rsidP="00322428">
      <w:pPr>
        <w:pStyle w:val="ListBullet"/>
      </w:pPr>
      <w:r w:rsidRPr="00322428">
        <w:t>geological properties of samples used in job role, including sulphides, oxides and silicates</w:t>
      </w:r>
    </w:p>
    <w:p w:rsidR="00000000" w:rsidRPr="00322428" w:rsidP="00322428">
      <w:pPr>
        <w:pStyle w:val="ListBullet"/>
      </w:pPr>
      <w:r w:rsidRPr="00322428">
        <w:t>terminology, including homogeneous, heterogeneous, integrity and segregation</w:t>
      </w:r>
    </w:p>
    <w:p w:rsidR="00000000" w:rsidRPr="00322428" w:rsidP="00322428">
      <w:pPr>
        <w:pStyle w:val="ListBullet"/>
      </w:pPr>
      <w:r w:rsidRPr="00322428">
        <w:t>distribution of common analytes</w:t>
      </w:r>
      <w:r w:rsidRPr="00322428">
        <w:t xml:space="preserve"> in a matrix</w:t>
      </w:r>
    </w:p>
    <w:p w:rsidR="00000000" w:rsidRPr="00322428" w:rsidP="00322428">
      <w:pPr>
        <w:pStyle w:val="ListBullet"/>
      </w:pPr>
      <w:r w:rsidRPr="00322428">
        <w:t>chemical reactions associated with common preparation methods used in job role</w:t>
      </w:r>
    </w:p>
    <w:p w:rsidR="00000000" w:rsidRPr="00322428" w:rsidP="00322428">
      <w:pPr>
        <w:pStyle w:val="ListBullet"/>
      </w:pPr>
      <w:r w:rsidRPr="00322428">
        <w:t>effects of reagents on the element of interest</w:t>
      </w:r>
    </w:p>
    <w:p w:rsidR="00000000" w:rsidRPr="00322428" w:rsidP="00322428">
      <w:pPr>
        <w:pStyle w:val="ListBullet"/>
      </w:pPr>
      <w:r w:rsidRPr="00322428">
        <w:t>reaction and recovery rates, solubility and equilibria</w:t>
      </w:r>
    </w:p>
    <w:p w:rsidR="00000000" w:rsidRPr="00322428" w:rsidP="00322428">
      <w:pPr>
        <w:pStyle w:val="ListBullet"/>
      </w:pPr>
      <w:r w:rsidRPr="00322428">
        <w:t>tracking analytes of interest during changes of state</w:t>
      </w:r>
    </w:p>
    <w:p w:rsidR="00000000" w:rsidRPr="00322428" w:rsidP="00322428">
      <w:pPr>
        <w:pStyle w:val="ListBullet"/>
      </w:pPr>
      <w:r w:rsidRPr="00322428">
        <w:t>critical</w:t>
      </w:r>
      <w:r w:rsidRPr="00322428">
        <w:t xml:space="preserve"> preparation steps that determine analytical accuracy and precision, including:</w:t>
      </w:r>
    </w:p>
    <w:p w:rsidR="00000000" w:rsidRPr="00322428" w:rsidP="00322428">
      <w:pPr>
        <w:pStyle w:val="ListBullet"/>
      </w:pPr>
      <w:r w:rsidRPr="00322428">
        <w:t>monitoring drying (incipient and total)</w:t>
      </w:r>
    </w:p>
    <w:p w:rsidR="00000000" w:rsidRPr="00322428" w:rsidP="00322428">
      <w:pPr>
        <w:pStyle w:val="ListBullet"/>
      </w:pPr>
      <w:r w:rsidRPr="00322428">
        <w:t>mixing to ensure homogeneity before sub-sampling</w:t>
      </w:r>
    </w:p>
    <w:p w:rsidR="00000000" w:rsidRPr="00322428" w:rsidP="00322428">
      <w:pPr>
        <w:pStyle w:val="ListBullet"/>
      </w:pPr>
      <w:r w:rsidRPr="00322428">
        <w:t>suitability of reagents for purpose (e.g. dryness)</w:t>
      </w:r>
    </w:p>
    <w:p w:rsidR="00000000" w:rsidRPr="00322428" w:rsidP="00322428">
      <w:pPr>
        <w:pStyle w:val="ListBullet"/>
      </w:pPr>
      <w:r w:rsidRPr="00322428">
        <w:t>accurate operation of dispensers and</w:t>
      </w:r>
      <w:r w:rsidRPr="00322428">
        <w:t xml:space="preserve"> balances</w:t>
      </w:r>
    </w:p>
    <w:p w:rsidR="00000000" w:rsidRPr="00322428" w:rsidP="00322428">
      <w:pPr>
        <w:pStyle w:val="ListBullet"/>
      </w:pPr>
      <w:r w:rsidRPr="00322428">
        <w:t>critical/non-critical volumes and critical reagent quantities</w:t>
      </w:r>
    </w:p>
    <w:p w:rsidR="00000000" w:rsidRPr="00322428" w:rsidP="00322428">
      <w:pPr>
        <w:pStyle w:val="ListBullet"/>
      </w:pPr>
      <w:r w:rsidRPr="00322428">
        <w:t>temperature control during digests</w:t>
      </w:r>
    </w:p>
    <w:p w:rsidR="00000000" w:rsidRPr="00322428" w:rsidP="00322428">
      <w:pPr>
        <w:pStyle w:val="ListBullet"/>
      </w:pPr>
      <w:r w:rsidRPr="00322428">
        <w:t>loss of solution prior to/after mixing</w:t>
      </w:r>
    </w:p>
    <w:p w:rsidR="00000000" w:rsidRPr="00322428" w:rsidP="00322428">
      <w:pPr>
        <w:pStyle w:val="ListBullet"/>
      </w:pPr>
      <w:r w:rsidRPr="00322428">
        <w:t>type and acid strength in final solutions</w:t>
      </w:r>
    </w:p>
    <w:p w:rsidR="00000000" w:rsidRPr="00322428" w:rsidP="00322428">
      <w:pPr>
        <w:pStyle w:val="ListBullet"/>
      </w:pPr>
      <w:r w:rsidRPr="00322428">
        <w:t>mechanical loss of digest (sputtering, residues on glassware/plastic</w:t>
      </w:r>
      <w:r w:rsidRPr="00322428">
        <w:t xml:space="preserve"> ware and filtering)</w:t>
      </w:r>
    </w:p>
    <w:p w:rsidR="00000000" w:rsidRPr="00322428" w:rsidP="00322428">
      <w:pPr>
        <w:pStyle w:val="ListBullet"/>
      </w:pPr>
      <w:r w:rsidRPr="00322428">
        <w:t>function of key components and operating procedures for sample preparation equipment</w:t>
      </w:r>
    </w:p>
    <w:p w:rsidR="00000000" w:rsidRPr="00322428" w:rsidP="00322428">
      <w:pPr>
        <w:pStyle w:val="ListBullet"/>
      </w:pPr>
      <w:r w:rsidRPr="00322428">
        <w:t xml:space="preserve">calculation steps in preparation methods (e.g. serial dilution) </w:t>
      </w:r>
    </w:p>
    <w:p w:rsidR="00000000" w:rsidRPr="00322428" w:rsidP="00322428">
      <w:pPr>
        <w:pStyle w:val="ListBullet"/>
      </w:pPr>
      <w:r w:rsidRPr="00322428">
        <w:t>use of non-international system of units (SI) units (ppm, ppb) and SI units, and conv</w:t>
      </w:r>
      <w:r w:rsidRPr="00322428">
        <w:t>ersions</w:t>
      </w:r>
    </w:p>
    <w:p w:rsidR="00000000" w:rsidRPr="00322428" w:rsidP="00322428">
      <w:pPr>
        <w:pStyle w:val="ListBullet"/>
      </w:pPr>
      <w:r w:rsidRPr="00322428">
        <w:t>workplace and/or legal traceability requirements</w:t>
      </w:r>
    </w:p>
    <w:p w:rsidR="00000000" w:rsidRPr="00322428" w:rsidP="00322428">
      <w:pPr>
        <w:pStyle w:val="ListBullet"/>
      </w:pPr>
      <w:r w:rsidRPr="00322428">
        <w:t>relevant hazards, work health and safety (WHS) and environmental requirements, including use of material safety data sheets (MSDS) and antidotes for specific hazards, such as hydrofluoric acid and cyanide.</w:t>
      </w:r>
    </w:p>
    <w:p w:rsidR="00000000" w:rsidRPr="00322428" w:rsidP="00322428">
      <w:pPr>
        <w:pStyle w:val="AllowPageBreak"/>
      </w:pPr>
    </w:p>
    <w:p w:rsidR="00000000" w:rsidRPr="00322428" w:rsidP="00322428">
      <w:pPr>
        <w:pStyle w:val="Heading1"/>
      </w:pPr>
      <w:bookmarkStart w:id="4" w:name="O_902956"/>
      <w:bookmarkEnd w:id="4"/>
      <w:r w:rsidRPr="00322428">
        <w:t>Assessment Conditions</w:t>
      </w:r>
    </w:p>
    <w:p w:rsidR="00000000" w:rsidRPr="00322428" w:rsidP="00322428">
      <w:pPr>
        <w:pStyle w:val="ListBullet"/>
      </w:pPr>
      <w:r w:rsidRPr="00322428">
        <w:t xml:space="preserve">Judgement </w:t>
      </w:r>
      <w:r w:rsidRPr="00322428">
        <w:t xml:space="preserve">of competence must be based on holistic assessment of the evidence. Assessment methods must confirm consistency of performance over time, rather than a single assessment event. </w:t>
      </w:r>
    </w:p>
    <w:p w:rsidR="00000000" w:rsidRPr="00322428" w:rsidP="00322428">
      <w:pPr>
        <w:pStyle w:val="ListBullet"/>
      </w:pPr>
      <w:r w:rsidRPr="00322428">
        <w:t>This unit of competency is to be assessed in the workplace or a simulated work</w:t>
      </w:r>
      <w:r w:rsidRPr="00322428">
        <w:t xml:space="preserve">place environment. A simulated workplace environment must reflect realistic operational workplace conditions that cover all aspects of workplace performance, including the environment, task skills, task management skills, contingency management skills and </w:t>
      </w:r>
      <w:r w:rsidRPr="00322428">
        <w:t xml:space="preserve">job role environment skills.  </w:t>
      </w:r>
    </w:p>
    <w:p w:rsidR="00000000" w:rsidRPr="00322428" w:rsidP="00322428">
      <w:pPr>
        <w:pStyle w:val="ListBullet"/>
      </w:pPr>
      <w:r w:rsidRPr="00322428">
        <w:t xml:space="preserve">Foundation skills are integral to competent performance of the unit and should not be assessed separately. </w:t>
      </w:r>
    </w:p>
    <w:p w:rsidR="00000000" w:rsidRPr="00322428" w:rsidP="00322428">
      <w:pPr>
        <w:pStyle w:val="ListBullet"/>
      </w:pPr>
      <w:r w:rsidRPr="00322428">
        <w:t>Assessment processes and techniques must be appropriate to the language, literacy and numeracy requirements of the wo</w:t>
      </w:r>
      <w:r w:rsidRPr="00322428">
        <w:t>rk being performed and the needs of the candidate.</w:t>
      </w:r>
    </w:p>
    <w:p w:rsidR="00000000" w:rsidRPr="00322428" w:rsidP="00322428">
      <w:pPr>
        <w:pStyle w:val="ListBullet"/>
      </w:pPr>
      <w:r w:rsidRPr="00322428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322428" w:rsidP="00322428">
      <w:pPr>
        <w:pStyle w:val="ListBullet"/>
      </w:pPr>
      <w:r w:rsidRPr="00322428">
        <w:t xml:space="preserve">This unit of competency may be assessed with: </w:t>
      </w:r>
    </w:p>
    <w:p w:rsidR="00000000" w:rsidRPr="00322428" w:rsidP="00322428">
      <w:pPr>
        <w:pStyle w:val="ListBullet2"/>
      </w:pPr>
      <w:r w:rsidRPr="00322428">
        <w:t>MSL924001 Record and present data</w:t>
      </w:r>
    </w:p>
    <w:p w:rsidR="00000000" w:rsidRPr="00322428" w:rsidP="00322428">
      <w:pPr>
        <w:pStyle w:val="ListBullet2"/>
      </w:pPr>
      <w:r w:rsidRPr="00322428">
        <w:t>MSL943002 Participate in laboratory or field workplace safety</w:t>
      </w:r>
    </w:p>
    <w:p w:rsidR="00000000" w:rsidRPr="00322428" w:rsidP="00322428">
      <w:pPr>
        <w:pStyle w:val="ListBullet"/>
      </w:pPr>
      <w:r w:rsidRPr="00322428">
        <w:t xml:space="preserve">Holistic assessment methods include: </w:t>
      </w:r>
    </w:p>
    <w:p w:rsidR="00000000" w:rsidRPr="00322428" w:rsidP="00322428">
      <w:pPr>
        <w:pStyle w:val="ListBullet2"/>
      </w:pPr>
      <w:r w:rsidRPr="00322428">
        <w:t>sizing checks and grind performance for samples prepared by candidate</w:t>
      </w:r>
    </w:p>
    <w:p w:rsidR="00000000" w:rsidRPr="00322428" w:rsidP="00322428">
      <w:pPr>
        <w:pStyle w:val="ListBullet2"/>
      </w:pPr>
      <w:r w:rsidRPr="00322428">
        <w:t>review of quality control performance and analytical results traceable to samples prepared by the candidate</w:t>
      </w:r>
    </w:p>
    <w:p w:rsidR="00000000" w:rsidRPr="00322428" w:rsidP="00322428">
      <w:pPr>
        <w:pStyle w:val="ListBullet2"/>
      </w:pPr>
      <w:r w:rsidRPr="00322428">
        <w:t>review of preparation and production documentation prepared by the candidate</w:t>
      </w:r>
    </w:p>
    <w:p w:rsidR="00000000" w:rsidRPr="00322428" w:rsidP="00322428">
      <w:pPr>
        <w:pStyle w:val="ListBullet2"/>
      </w:pPr>
      <w:r w:rsidRPr="00322428">
        <w:t xml:space="preserve">feedback from supervisors and/or clients about the candidate’s ability </w:t>
      </w:r>
      <w:r w:rsidRPr="00322428">
        <w:t>to safely prepare mineral samples that meet client requirements</w:t>
      </w:r>
    </w:p>
    <w:p w:rsidR="00000000" w:rsidRPr="00322428" w:rsidP="00322428">
      <w:pPr>
        <w:pStyle w:val="ListBullet2"/>
      </w:pPr>
      <w:r w:rsidRPr="00322428">
        <w:t>observation of the candidate preparing mineral samples for analysis</w:t>
      </w:r>
    </w:p>
    <w:p w:rsidR="00000000" w:rsidRPr="00322428" w:rsidP="00322428">
      <w:pPr>
        <w:pStyle w:val="ListBullet2"/>
      </w:pPr>
      <w:r w:rsidRPr="00322428">
        <w:t>oral or written questions about preparation methods, critical steps, typical problems and corrective actions.</w:t>
      </w:r>
    </w:p>
    <w:p w:rsidR="00000000" w:rsidRPr="00322428" w:rsidP="00322428">
      <w:pPr>
        <w:pStyle w:val="ListBullet"/>
      </w:pPr>
      <w:r w:rsidRPr="00322428">
        <w:t>Access is req</w:t>
      </w:r>
      <w:r w:rsidRPr="00322428">
        <w:t>uired to instruments, equipment, materials, workplace documentation, procedures and specifications associated with this unit, including, but not limited to:</w:t>
      </w:r>
    </w:p>
    <w:p w:rsidR="00000000" w:rsidRPr="00322428" w:rsidP="00322428">
      <w:pPr>
        <w:pStyle w:val="ListBullet2"/>
      </w:pPr>
      <w:r w:rsidRPr="00322428">
        <w:t>a variety of mineral samples, sample preparation methods, reagents, sample containers and labels</w:t>
      </w:r>
    </w:p>
    <w:p w:rsidR="00000000" w:rsidRPr="00322428" w:rsidP="00322428">
      <w:pPr>
        <w:pStyle w:val="ListBullet2"/>
      </w:pPr>
      <w:r w:rsidRPr="00322428">
        <w:t>c</w:t>
      </w:r>
      <w:r w:rsidRPr="00322428">
        <w:t>lient requests/documentation, such as client profile; sample identification and sample receipts; required preparation methods, storage and analyses; and service charges</w:t>
      </w:r>
    </w:p>
    <w:p w:rsidR="00000000" w:rsidRPr="00322428" w:rsidP="00322428">
      <w:pPr>
        <w:pStyle w:val="ListBullet2"/>
      </w:pPr>
      <w:r w:rsidRPr="00322428">
        <w:t>sample preparation equipment, such as splitters (e.g. riffles and rotary dividers), mil</w:t>
      </w:r>
      <w:r w:rsidRPr="00322428">
        <w:t>ls (e.g. ball, ring and rod), bowls (e.g. chrome-steel, tungsten-carbide and zirconia) and tumblers, crushers (e.g. cone, jaw and roll), grinders and disc pulverisers, sieves, ovens and muffle furnaces</w:t>
      </w:r>
    </w:p>
    <w:p w:rsidR="00000000" w:rsidRPr="00322428" w:rsidP="00322428">
      <w:pPr>
        <w:pStyle w:val="ListBullet2"/>
      </w:pPr>
      <w:r w:rsidRPr="00322428">
        <w:t>laboratory equipment, such as ultrasonic baths, centri</w:t>
      </w:r>
      <w:r w:rsidRPr="00322428">
        <w:t>fuges and vacuum and pressure filtration, volumetric glassware/plastic ware and dispensers, analytical balances and auto-samplers</w:t>
      </w:r>
    </w:p>
    <w:p w:rsidR="00000000" w:rsidRPr="00322428" w:rsidP="00322428">
      <w:pPr>
        <w:pStyle w:val="ListBullet2"/>
      </w:pPr>
      <w:r w:rsidRPr="00322428">
        <w:t>safety equipment and safe work procedures.</w:t>
      </w:r>
    </w:p>
    <w:p w:rsidR="00000000" w:rsidRPr="00322428" w:rsidP="00322428">
      <w:pPr>
        <w:pStyle w:val="ListBullet"/>
      </w:pPr>
      <w:r w:rsidRPr="00322428">
        <w:t>Assessors must satisfy the assessor competency requirements that are in place at t</w:t>
      </w:r>
      <w:r w:rsidRPr="00322428">
        <w:t xml:space="preserve">he time of the assessment as set by the VET regulator.  </w:t>
      </w:r>
    </w:p>
    <w:p w:rsidR="00000000" w:rsidRPr="00322428" w:rsidP="00322428">
      <w:pPr>
        <w:pStyle w:val="ListBullet"/>
      </w:pPr>
      <w:r w:rsidRPr="00322428">
        <w:t>The assessor must demonstrate both technical competence and currency.</w:t>
      </w:r>
    </w:p>
    <w:p w:rsidR="00000000" w:rsidRPr="00322428" w:rsidP="00322428">
      <w:pPr>
        <w:pStyle w:val="ListBullet"/>
      </w:pPr>
      <w:r w:rsidRPr="00322428">
        <w:t>Technical competence can be demonstrated through:</w:t>
      </w:r>
    </w:p>
    <w:p w:rsidR="00000000" w:rsidRPr="00322428" w:rsidP="00322428">
      <w:pPr>
        <w:pStyle w:val="ListBullet2"/>
      </w:pPr>
      <w:r w:rsidRPr="00322428">
        <w:t>relevant VET or other qualification/Statement of Attainment AND/OR</w:t>
      </w:r>
    </w:p>
    <w:p w:rsidR="00000000" w:rsidRPr="00322428" w:rsidP="00322428">
      <w:pPr>
        <w:pStyle w:val="ListBullet2"/>
      </w:pPr>
      <w:r w:rsidRPr="00322428">
        <w:t>relevant workplace experience.</w:t>
      </w:r>
    </w:p>
    <w:p w:rsidR="00000000" w:rsidRPr="00322428" w:rsidP="00322428">
      <w:pPr>
        <w:pStyle w:val="ListBullet"/>
      </w:pPr>
      <w:r w:rsidRPr="00322428">
        <w:t>Currency can be demonstrated through:</w:t>
      </w:r>
    </w:p>
    <w:p w:rsidR="00000000" w:rsidRPr="00322428" w:rsidP="00322428">
      <w:pPr>
        <w:pStyle w:val="ListBullet2"/>
      </w:pPr>
      <w:r w:rsidRPr="00322428">
        <w:t>performing the competency being assessed as part of current employment OR</w:t>
      </w:r>
    </w:p>
    <w:p w:rsidR="00000000" w:rsidRPr="00322428" w:rsidP="00322428">
      <w:pPr>
        <w:pStyle w:val="ListBullet2"/>
      </w:pPr>
      <w:r w:rsidRPr="00322428">
        <w:t>having consulted with a laboratory about performing the competency being assessed within the last twelve months</w:t>
      </w:r>
      <w:r w:rsidRPr="00322428">
        <w:t>.</w:t>
      </w:r>
    </w:p>
    <w:p w:rsidR="00000000" w:rsidRPr="00322428" w:rsidP="00322428">
      <w:pPr>
        <w:pStyle w:val="AllowPageBreak"/>
      </w:pPr>
    </w:p>
    <w:p w:rsidR="00000000" w:rsidRPr="00322428" w:rsidP="00322428">
      <w:pPr>
        <w:pStyle w:val="Heading1"/>
      </w:pPr>
      <w:bookmarkStart w:id="5" w:name="O_902954"/>
      <w:bookmarkEnd w:id="5"/>
      <w:r w:rsidRPr="00322428">
        <w:t>Links</w:t>
      </w:r>
    </w:p>
    <w:p w:rsidR="00000000" w:rsidRPr="00322428" w:rsidP="00322428">
      <w:pPr>
        <w:pStyle w:val="BodyText"/>
      </w:pPr>
      <w:r w:rsidRPr="00322428">
        <w:t>MSA Training Package Implementation Guides - http://mskills.org.au/training-packages/info/</w:t>
      </w:r>
    </w:p>
    <w:p w:rsidR="00000000" w:rsidRPr="00322428" w:rsidP="00322428"/>
    <w:sectPr w:rsidSect="003224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28" w:rsidRPr="00E941EA" w:rsidP="00E94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EA" w:rsidP="00322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1EA" w:rsidP="00322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941EA" w:rsidP="00322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28" w:rsidRPr="00E941EA" w:rsidP="00E941E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EA" w:rsidRPr="002D2AF8" w:rsidP="00322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MSL954002 Prepare mineral samples for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E941EA" w:rsidP="00322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F4D2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F0A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C86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428"/>
  </w:style>
  <w:style w:type="character" w:customStyle="1" w:styleId="Heading1Char">
    <w:name w:val="Heading 1 Char"/>
    <w:basedOn w:val="DefaultParagraphFont"/>
    <w:link w:val="Heading1"/>
    <w:rsid w:val="00322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4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4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42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24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2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4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4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2428"/>
    <w:rPr>
      <w:b/>
      <w:spacing w:val="0"/>
    </w:rPr>
  </w:style>
  <w:style w:type="paragraph" w:customStyle="1" w:styleId="SuperTitle">
    <w:name w:val="SuperTitle"/>
    <w:basedOn w:val="Title"/>
    <w:rsid w:val="00322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4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428"/>
    <w:rPr>
      <w:i/>
    </w:rPr>
  </w:style>
  <w:style w:type="paragraph" w:styleId="Caption">
    <w:name w:val="caption"/>
    <w:basedOn w:val="BodyText"/>
    <w:next w:val="Normal"/>
    <w:qFormat/>
    <w:rsid w:val="00322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428"/>
  </w:style>
  <w:style w:type="paragraph" w:styleId="TableofFigures">
    <w:name w:val="table of figures"/>
    <w:basedOn w:val="Normal"/>
    <w:next w:val="Normal"/>
    <w:semiHidden/>
    <w:rsid w:val="00322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428"/>
    <w:pPr>
      <w:numPr>
        <w:numId w:val="11"/>
      </w:numPr>
    </w:pPr>
  </w:style>
  <w:style w:type="character" w:customStyle="1" w:styleId="WingdingSymbols">
    <w:name w:val="Wingding Symbols"/>
    <w:rsid w:val="00322428"/>
    <w:rPr>
      <w:rFonts w:ascii="Wingdings" w:hAnsi="Wingdings"/>
    </w:rPr>
  </w:style>
  <w:style w:type="paragraph" w:customStyle="1" w:styleId="TableHeading">
    <w:name w:val="Table Heading"/>
    <w:basedOn w:val="HeadingBase"/>
    <w:rsid w:val="003224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428"/>
    <w:rPr>
      <w:color w:val="0033CC"/>
      <w:u w:val="none"/>
    </w:rPr>
  </w:style>
  <w:style w:type="paragraph" w:customStyle="1" w:styleId="BodyTextRight">
    <w:name w:val="Body Text Right"/>
    <w:basedOn w:val="BodyText"/>
    <w:rsid w:val="00322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4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428"/>
    <w:rPr>
      <w:sz w:val="32"/>
    </w:rPr>
  </w:style>
  <w:style w:type="paragraph" w:customStyle="1" w:styleId="HeadingProcedure">
    <w:name w:val="Heading Procedure"/>
    <w:basedOn w:val="HeadingBase"/>
    <w:next w:val="Normal"/>
    <w:rsid w:val="00322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428"/>
    <w:pPr>
      <w:spacing w:before="60" w:after="60"/>
    </w:pPr>
  </w:style>
  <w:style w:type="paragraph" w:styleId="ListContinue">
    <w:name w:val="List Continue"/>
    <w:basedOn w:val="List"/>
    <w:rsid w:val="00322428"/>
    <w:pPr>
      <w:ind w:firstLine="0"/>
    </w:pPr>
  </w:style>
  <w:style w:type="paragraph" w:customStyle="1" w:styleId="ListNote">
    <w:name w:val="List Note"/>
    <w:basedOn w:val="List"/>
    <w:rsid w:val="00322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428"/>
    <w:rPr>
      <w:rFonts w:ascii="Courier New" w:hAnsi="Courier New"/>
    </w:rPr>
  </w:style>
  <w:style w:type="paragraph" w:customStyle="1" w:styleId="NoteBullet">
    <w:name w:val="Note Bullet"/>
    <w:basedOn w:val="Note"/>
    <w:rsid w:val="00322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4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2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428"/>
    <w:rPr>
      <w:b/>
      <w:smallCaps/>
    </w:rPr>
  </w:style>
  <w:style w:type="paragraph" w:customStyle="1" w:styleId="TableListNumber">
    <w:name w:val="Table List Number"/>
    <w:basedOn w:val="ListNumber"/>
    <w:rsid w:val="00322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428"/>
    <w:pPr>
      <w:numPr>
        <w:numId w:val="9"/>
      </w:numPr>
    </w:pPr>
  </w:style>
  <w:style w:type="paragraph" w:customStyle="1" w:styleId="ListAlpha2">
    <w:name w:val="List Alpha 2"/>
    <w:basedOn w:val="List2"/>
    <w:rsid w:val="00322428"/>
    <w:pPr>
      <w:numPr>
        <w:numId w:val="8"/>
      </w:numPr>
    </w:pPr>
  </w:style>
  <w:style w:type="paragraph" w:styleId="List2">
    <w:name w:val="List 2"/>
    <w:basedOn w:val="BodyText"/>
    <w:rsid w:val="00322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42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4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2428"/>
    <w:pPr>
      <w:numPr>
        <w:numId w:val="4"/>
      </w:numPr>
    </w:pPr>
  </w:style>
  <w:style w:type="paragraph" w:styleId="ListContinue2">
    <w:name w:val="List Continue 2"/>
    <w:basedOn w:val="List2"/>
    <w:rsid w:val="00322428"/>
    <w:pPr>
      <w:ind w:firstLine="0"/>
    </w:pPr>
  </w:style>
  <w:style w:type="paragraph" w:styleId="ListContinue3">
    <w:name w:val="List Continue 3"/>
    <w:basedOn w:val="List3"/>
    <w:rsid w:val="00322428"/>
    <w:pPr>
      <w:ind w:left="1021" w:firstLine="0"/>
    </w:pPr>
  </w:style>
  <w:style w:type="paragraph" w:styleId="ListContinue4">
    <w:name w:val="List Continue 4"/>
    <w:basedOn w:val="List4"/>
    <w:rsid w:val="00322428"/>
    <w:pPr>
      <w:ind w:firstLine="0"/>
    </w:pPr>
  </w:style>
  <w:style w:type="paragraph" w:styleId="ListContinue5">
    <w:name w:val="List Continue 5"/>
    <w:basedOn w:val="List5"/>
    <w:rsid w:val="00322428"/>
    <w:pPr>
      <w:ind w:firstLine="0"/>
    </w:pPr>
  </w:style>
  <w:style w:type="paragraph" w:styleId="ListNumber3">
    <w:name w:val="List Number 3"/>
    <w:basedOn w:val="List3"/>
    <w:rsid w:val="00322428"/>
    <w:pPr>
      <w:numPr>
        <w:numId w:val="5"/>
      </w:numPr>
    </w:pPr>
  </w:style>
  <w:style w:type="paragraph" w:styleId="ListNumber4">
    <w:name w:val="List Number 4"/>
    <w:basedOn w:val="List4"/>
    <w:rsid w:val="00322428"/>
    <w:pPr>
      <w:numPr>
        <w:numId w:val="6"/>
      </w:numPr>
    </w:pPr>
  </w:style>
  <w:style w:type="paragraph" w:styleId="ListNumber5">
    <w:name w:val="List Number 5"/>
    <w:basedOn w:val="List5"/>
    <w:rsid w:val="00322428"/>
    <w:pPr>
      <w:numPr>
        <w:numId w:val="7"/>
      </w:numPr>
    </w:pPr>
  </w:style>
  <w:style w:type="paragraph" w:styleId="BlockText">
    <w:name w:val="Block Text"/>
    <w:basedOn w:val="Normal"/>
    <w:rsid w:val="00322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428"/>
    <w:rPr>
      <w:sz w:val="16"/>
      <w:vertAlign w:val="superscript"/>
    </w:rPr>
  </w:style>
  <w:style w:type="character" w:customStyle="1" w:styleId="Symbols">
    <w:name w:val="Symbols"/>
    <w:basedOn w:val="DefaultParagraphFont"/>
    <w:rsid w:val="00322428"/>
    <w:rPr>
      <w:rFonts w:ascii="Symbol" w:hAnsi="Symbol"/>
    </w:rPr>
  </w:style>
  <w:style w:type="character" w:customStyle="1" w:styleId="MenuOptions">
    <w:name w:val="Menu Options"/>
    <w:basedOn w:val="DefaultParagraphFont"/>
    <w:rsid w:val="00322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428"/>
    <w:rPr>
      <w:b/>
    </w:rPr>
  </w:style>
  <w:style w:type="character" w:customStyle="1" w:styleId="Underlined">
    <w:name w:val="Underlined"/>
    <w:basedOn w:val="DefaultParagraphFont"/>
    <w:rsid w:val="00322428"/>
    <w:rPr>
      <w:u w:val="single"/>
    </w:rPr>
  </w:style>
  <w:style w:type="paragraph" w:customStyle="1" w:styleId="TableBodyTextRight">
    <w:name w:val="Table Body Text Right"/>
    <w:basedOn w:val="TableBodyText"/>
    <w:rsid w:val="00322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428"/>
    <w:rPr>
      <w:sz w:val="18"/>
    </w:rPr>
  </w:style>
  <w:style w:type="paragraph" w:customStyle="1" w:styleId="BodySmallRight">
    <w:name w:val="Body Small Right"/>
    <w:basedOn w:val="BodyTextRight"/>
    <w:rsid w:val="00322428"/>
    <w:rPr>
      <w:sz w:val="18"/>
      <w:szCs w:val="18"/>
    </w:rPr>
  </w:style>
  <w:style w:type="paragraph" w:customStyle="1" w:styleId="MarginEdition">
    <w:name w:val="Margin Edition"/>
    <w:basedOn w:val="MarginNote"/>
    <w:rsid w:val="00322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428"/>
    <w:rPr>
      <w:sz w:val="2"/>
      <w:szCs w:val="2"/>
    </w:rPr>
  </w:style>
  <w:style w:type="character" w:customStyle="1" w:styleId="Small">
    <w:name w:val="Small"/>
    <w:basedOn w:val="DefaultParagraphFont"/>
    <w:rsid w:val="00322428"/>
    <w:rPr>
      <w:sz w:val="16"/>
    </w:rPr>
  </w:style>
  <w:style w:type="paragraph" w:customStyle="1" w:styleId="WideTable">
    <w:name w:val="Wide Table"/>
    <w:basedOn w:val="Normal"/>
    <w:rsid w:val="00322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428"/>
  </w:style>
  <w:style w:type="paragraph" w:styleId="Quote">
    <w:name w:val="Quote"/>
    <w:basedOn w:val="Heading1"/>
    <w:link w:val="QuoteChar"/>
    <w:qFormat/>
    <w:rsid w:val="00322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428"/>
    <w:pPr>
      <w:pageBreakBefore/>
    </w:pPr>
  </w:style>
  <w:style w:type="paragraph" w:customStyle="1" w:styleId="Border">
    <w:name w:val="Border"/>
    <w:basedOn w:val="Normal"/>
    <w:qFormat/>
    <w:rsid w:val="00322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428"/>
    <w:rPr>
      <w:u w:val="single"/>
    </w:rPr>
  </w:style>
  <w:style w:type="character" w:customStyle="1" w:styleId="BoldandItalics">
    <w:name w:val="Bold and Italics"/>
    <w:qFormat/>
    <w:rsid w:val="00322428"/>
    <w:rPr>
      <w:b/>
      <w:i/>
      <w:u w:val="none"/>
    </w:rPr>
  </w:style>
  <w:style w:type="paragraph" w:styleId="BalloonText">
    <w:name w:val="Balloon Text"/>
    <w:basedOn w:val="Normal"/>
    <w:link w:val="BalloonTextChar"/>
    <w:rsid w:val="00322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4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42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5496</Characters>
  <Application>Microsoft Office Word</Application>
  <DocSecurity>0</DocSecurity>
  <Lines>115</Lines>
  <Paragraphs>76</Paragraphs>
  <ScaleCrop>false</ScaleCrop>
  <Company>Author-it Software Corporation Ltd.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MSL954002 Prepare mineral samples for analysis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2016-03-01T06:16:00Z</dcterms:created>
  <dcterms:modified xsi:type="dcterms:W3CDTF">2016-03-01T06:16:00Z</dcterms:modified>
</cp:coreProperties>
</file>