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5B7" w:rsidP="00C55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MSL954001 Obtain representative samples in accordance with sampling plan</w:t>
      </w:r>
      <w:r>
        <w:fldChar w:fldCharType="end"/>
      </w:r>
    </w:p>
    <w:p w:rsidR="00C555B7" w:rsidP="00C555B7">
      <w:pPr>
        <w:pStyle w:val="Version"/>
        <w:sectPr w:rsidSect="006A5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534" w:rsidP="006A5534">
      <w:pPr>
        <w:pStyle w:val="SuperHeading"/>
      </w:pPr>
      <w:r w:rsidRPr="006A5534">
        <w:t>MSL954001 Obtain representative samples in accordance with sampling plan</w:t>
      </w:r>
    </w:p>
    <w:p w:rsidR="00000000" w:rsidRPr="006A5534" w:rsidP="006A5534">
      <w:pPr>
        <w:pStyle w:val="Heading1"/>
      </w:pPr>
      <w:bookmarkStart w:id="1" w:name="O_902940"/>
      <w:bookmarkEnd w:id="1"/>
      <w:r w:rsidRPr="006A5534">
        <w:t>Modification History</w:t>
      </w:r>
    </w:p>
    <w:p w:rsidR="00000000" w:rsidRPr="006A5534" w:rsidP="006A5534">
      <w:pPr>
        <w:pStyle w:val="BodyText"/>
      </w:pPr>
      <w:r w:rsidRPr="006A5534">
        <w:t xml:space="preserve">Release 1. Supersedes and is equivalent to MSL954001A Obtain representative samples in accordance with sampling plan  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2" w:name="O_902948"/>
      <w:bookmarkEnd w:id="2"/>
      <w:r w:rsidRPr="006A5534">
        <w:t>Application</w:t>
      </w:r>
    </w:p>
    <w:p w:rsidR="00000000" w:rsidRPr="006A5534" w:rsidP="006A5534">
      <w:pPr>
        <w:pStyle w:val="BodyText"/>
      </w:pPr>
      <w:r w:rsidRPr="006A5534">
        <w:t xml:space="preserve">This unit of competency covers the ability to obtain a range of samples that are representative of the source material (e.g. raw ingredients, product in process and final product) and to prepare the samples for testing. All sampling activities </w:t>
      </w:r>
      <w:r w:rsidRPr="006A5534">
        <w:t>are conducted in accordance with a defined sampling plan. This unit does not cover the subsequent testing of the samples.</w:t>
      </w:r>
    </w:p>
    <w:p w:rsidR="00000000" w:rsidRPr="006A5534" w:rsidP="006A5534">
      <w:pPr>
        <w:pStyle w:val="BodyText"/>
      </w:pPr>
    </w:p>
    <w:p w:rsidR="00000000" w:rsidRPr="006A5534" w:rsidP="006A5534">
      <w:pPr>
        <w:pStyle w:val="BodyText"/>
      </w:pPr>
      <w:r w:rsidRPr="006A5534">
        <w:t xml:space="preserve">This unit of competency is applicable to laboratory technicians in all industry sectors. </w:t>
      </w:r>
    </w:p>
    <w:p w:rsidR="00000000" w:rsidRPr="006A5534" w:rsidP="006A5534">
      <w:pPr>
        <w:pStyle w:val="BodyText"/>
      </w:pPr>
    </w:p>
    <w:p w:rsidR="00000000" w:rsidRPr="006A5534" w:rsidP="006A5534">
      <w:pPr>
        <w:pStyle w:val="BodyText"/>
      </w:pPr>
      <w:r w:rsidRPr="006A5534">
        <w:t>While no specific licensing or certificati</w:t>
      </w:r>
      <w:r w:rsidRPr="006A5534">
        <w:t>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3" w:name="O_902947"/>
      <w:bookmarkEnd w:id="3"/>
      <w:r w:rsidRPr="006A5534">
        <w:t>Pre-requisite Unit</w:t>
      </w:r>
    </w:p>
    <w:p w:rsidR="00000000" w:rsidRPr="006A5534" w:rsidP="006A5534">
      <w:pPr>
        <w:pStyle w:val="BodyText"/>
      </w:pPr>
      <w:r w:rsidRPr="006A5534">
        <w:t>Nil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4" w:name="O_902946"/>
      <w:bookmarkEnd w:id="4"/>
      <w:r w:rsidRPr="006A5534">
        <w:t>Competency Field</w:t>
      </w:r>
    </w:p>
    <w:p w:rsidR="00000000" w:rsidRPr="006A5534" w:rsidP="006A5534">
      <w:pPr>
        <w:pStyle w:val="BodyText"/>
      </w:pPr>
      <w:r w:rsidRPr="006A5534">
        <w:t>Sampling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5" w:name="O_902945"/>
      <w:bookmarkEnd w:id="5"/>
      <w:r w:rsidRPr="006A5534">
        <w:t>Unit Sector</w:t>
      </w:r>
    </w:p>
    <w:p w:rsidR="00000000" w:rsidRPr="006A5534" w:rsidP="006A5534">
      <w:pPr>
        <w:pStyle w:val="Heading1"/>
      </w:pPr>
      <w:bookmarkStart w:id="6" w:name="O_902944"/>
      <w:bookmarkEnd w:id="6"/>
      <w:r w:rsidRPr="006A55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Performance criteria describe the performance needed to demonstrate achievement of the ele</w:t>
            </w:r>
            <w:r w:rsidRPr="006A5534">
              <w:t>ment.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 xml:space="preserve">Confirm the sampling location, number and type of samples, and timing and frequency of sampling from workplace or client's sampling plan 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 xml:space="preserve">Liaise with relevant personnel to arrange site access and </w:t>
            </w:r>
            <w:r w:rsidRPr="006A5534">
              <w:t>all necessary clearances and/or permits as required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Select sampling equipment and conditions to ac</w:t>
            </w:r>
            <w:r w:rsidRPr="006A5534">
              <w:t>hieve representative samples and preserve sample integrity during collection, storage and transit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Check that all procedures are in accordance with client or workplace requirements, relevant standards and codes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Identify site and sampling hazar</w:t>
            </w:r>
            <w:r w:rsidRPr="006A5534">
              <w:t>ds and review workplace safety procedures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Assemble and check all sampling equipment, materials, containers and safety equipment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Arrange suitable transport to, from and around site as required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Conduct sampling and 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Locate sampling sites and, if required, services at the site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Conduct representative sampling in accordance with sampling plan and defined procedures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Record all information and label samples in accordance with traceability requirements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Record environment or production conditions and any atypical observations made during sampling that may impact on sample representativeness or integrity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Transport all sa</w:t>
            </w:r>
            <w:r w:rsidRPr="006A5534">
              <w:t>mples back to base according to standard operating procedures (SOPs) and relevant codes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Prepare sub-samples and back-up sub-samples that are representative of the source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Label all sub-samples to ensure traceability and store in accordance with SOPs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Follow defined preparation and safety procedures to limit hazard or contamination to samples, self, work area and environment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Distribute sub-samples to defined wor</w:t>
            </w:r>
            <w:r w:rsidRPr="006A5534">
              <w:t>kstations maintaining sample integrity and traceability requirements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Address client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Enter approved information into laboratory information management system (LIMS)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Report all relevant aspects of the sampling and preparation phases in accordance with workplace procedures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Ensure that information provided to client is accurate, relevant and authorised for release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Maintain security and confidentiality of all client/workplace data and information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Clean all equipment, containers, work area and vehicles according to workplace procedures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Check serviceability of all equipment before storage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Use defined safe work practices and personal protective equipment (PPE) to ensure personal safety and that of other personnel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 xml:space="preserve">Minimise the generation of wastes and environment impacts </w:t>
            </w:r>
          </w:p>
        </w:tc>
      </w:tr>
      <w:tr w:rsidTr="006A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Ensure the safe collection of all hazardous wastes for appropriate disposal</w:t>
            </w:r>
          </w:p>
        </w:tc>
      </w:tr>
    </w:tbl>
    <w:p w:rsidR="00000000" w:rsidRPr="006A5534" w:rsidP="006A5534">
      <w:pPr>
        <w:pStyle w:val="BodyText"/>
      </w:pP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7" w:name="O_902943"/>
      <w:bookmarkEnd w:id="7"/>
      <w:r w:rsidRPr="006A5534">
        <w:t>Foundation Skills</w:t>
      </w:r>
    </w:p>
    <w:p w:rsidR="00000000" w:rsidRPr="006A5534" w:rsidP="006A5534">
      <w:pPr>
        <w:pStyle w:val="BodyText"/>
      </w:pPr>
      <w:r w:rsidRPr="006A5534">
        <w:t>This section describes those language, literacy, numeracy and employment skills that are essential to performance.</w:t>
      </w:r>
    </w:p>
    <w:p w:rsidR="00000000" w:rsidRPr="006A5534" w:rsidP="006A5534">
      <w:pPr>
        <w:pStyle w:val="BodyText"/>
      </w:pPr>
    </w:p>
    <w:p w:rsidR="00000000" w:rsidRPr="006A5534" w:rsidP="006A5534">
      <w:pPr>
        <w:pStyle w:val="BodyText"/>
      </w:pPr>
      <w:r w:rsidRPr="006A5534">
        <w:t>Foundation skills essen</w:t>
      </w:r>
      <w:r w:rsidRPr="006A5534">
        <w:t>tial to performance are explicit in the performance criteria of this unit of competency.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8" w:name="O_902942"/>
      <w:bookmarkEnd w:id="8"/>
      <w:r w:rsidRPr="006A553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t xml:space="preserve">This field allows for different work environments and conditions that may affect performance. Essential operating conditions that </w:t>
            </w:r>
            <w:r w:rsidRPr="006A5534">
              <w:t>may be present (depending on the work situation, needs of the candidate, accessibility of the item, and local industry and regional contexts) are included.</w:t>
            </w: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Standards, codes, procedures and/or workplace requirements include the latest version of one or more of:</w:t>
            </w:r>
          </w:p>
          <w:p w:rsidR="00000000" w:rsidRPr="006A5534" w:rsidP="006A5534">
            <w:pPr>
              <w:pStyle w:val="ListBullet"/>
            </w:pPr>
            <w:r w:rsidRPr="006A5534">
              <w:t>Australian and international standards covering the requirements for the competence of testing and calibration laboratories; laboratory safety; qualit</w:t>
            </w:r>
            <w:r w:rsidRPr="006A5534">
              <w:t>y and environmental management; sampling of materials; and labelling, storage, handling and transport of hazardous materials</w:t>
            </w:r>
          </w:p>
          <w:p w:rsidR="00000000" w:rsidRPr="006A5534" w:rsidP="006A5534">
            <w:pPr>
              <w:pStyle w:val="ListBullet"/>
            </w:pPr>
            <w:r w:rsidRPr="006A5534">
              <w:t>national work health and safety (WHS) standards and codes of practice, national environmental protection measures, and national mea</w:t>
            </w:r>
            <w:r w:rsidRPr="006A5534">
              <w:t>surement regulations and guidelines</w:t>
            </w:r>
          </w:p>
          <w:p w:rsidR="00000000" w:rsidRPr="006A5534" w:rsidP="006A5534">
            <w:pPr>
              <w:pStyle w:val="ListBullet"/>
            </w:pPr>
            <w:r w:rsidRPr="006A5534">
              <w:t>specific codes, guidelines and procedures, such as National Association of Testing Authorities (NATA) accreditation requirements and principles of good laboratory practice (GLP)</w:t>
            </w:r>
          </w:p>
          <w:p w:rsidR="00000000" w:rsidRPr="006A5534" w:rsidP="006A5534">
            <w:pPr>
              <w:pStyle w:val="ListBullet"/>
            </w:pPr>
            <w:r w:rsidRPr="006A5534">
              <w:t>workplace documents, such as SOPs; quality</w:t>
            </w:r>
            <w:r w:rsidRPr="006A5534">
              <w:t xml:space="preserve"> and equipment manuals; calibration and maintenance schedules; material safety data sheets (MSDS); safety procedures; material, production and product specifications; production and laboratory schedules; workplace recording and reporting procedures; waste </w:t>
            </w:r>
            <w:r w:rsidRPr="006A5534">
              <w:t>minimisation and safe disposal procedures; and maps and site plans</w:t>
            </w:r>
          </w:p>
          <w:p w:rsidR="00000000" w:rsidRPr="006A5534" w:rsidP="006A5534">
            <w:pPr>
              <w:pStyle w:val="ListBullet"/>
            </w:pPr>
            <w:r w:rsidRPr="006A5534">
              <w:t>sampling procedures for specific samples, sites and clients (labelling, preparation, storage, transport and disposal)</w:t>
            </w:r>
          </w:p>
          <w:p w:rsidR="00000000" w:rsidRPr="006A5534" w:rsidP="006A5534">
            <w:pPr>
              <w:pStyle w:val="ListBullet"/>
            </w:pPr>
            <w:r w:rsidRPr="006A5534">
              <w:t>methods and procedures which may be written to meet workplace, client a</w:t>
            </w:r>
            <w:r w:rsidRPr="006A5534">
              <w:t>nd/or regulatory/certifying body requirements</w:t>
            </w:r>
          </w:p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Materials sampled include one or more of:</w:t>
            </w:r>
          </w:p>
          <w:p w:rsidR="00000000" w:rsidRPr="006A5534" w:rsidP="006A5534">
            <w:pPr>
              <w:pStyle w:val="ListBullet"/>
            </w:pPr>
            <w:r w:rsidRPr="006A5534">
              <w:t>gas or air samples</w:t>
            </w:r>
          </w:p>
          <w:p w:rsidR="00000000" w:rsidRPr="006A5534" w:rsidP="006A5534">
            <w:pPr>
              <w:pStyle w:val="ListBullet"/>
            </w:pPr>
            <w:r w:rsidRPr="006A5534">
              <w:t>water, groundwater, wastewater, stormwater, sludges and sewage</w:t>
            </w:r>
          </w:p>
          <w:p w:rsidR="00000000" w:rsidRPr="006A5534" w:rsidP="006A5534">
            <w:pPr>
              <w:pStyle w:val="ListBullet"/>
            </w:pPr>
            <w:r w:rsidRPr="006A5534">
              <w:t>soil, sediments, rocks, concrete, quarry and mining material, solid wastes</w:t>
            </w:r>
          </w:p>
          <w:p w:rsidR="00000000" w:rsidRPr="006A5534" w:rsidP="006A5534">
            <w:pPr>
              <w:pStyle w:val="ListBullet"/>
            </w:pPr>
            <w:r w:rsidRPr="006A5534">
              <w:t>raw materials, start, middle, end of production run samples, final products and materials used in production processes, such as flocculants</w:t>
            </w:r>
          </w:p>
          <w:p w:rsidR="00000000" w:rsidRPr="006A5534" w:rsidP="006A5534">
            <w:pPr>
              <w:pStyle w:val="ListBullet"/>
            </w:pPr>
            <w:r w:rsidRPr="006A5534">
              <w:t>plants, animals and microbiological sampl</w:t>
            </w:r>
            <w:r w:rsidRPr="006A5534">
              <w:t>es</w:t>
            </w:r>
          </w:p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Types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Types of samples include one or more of:</w:t>
            </w:r>
          </w:p>
          <w:p w:rsidR="00000000" w:rsidRPr="006A5534" w:rsidP="006A5534">
            <w:pPr>
              <w:pStyle w:val="ListBullet"/>
            </w:pPr>
            <w:r w:rsidRPr="006A5534">
              <w:t>grab samples</w:t>
            </w:r>
          </w:p>
          <w:p w:rsidR="00000000" w:rsidRPr="006A5534" w:rsidP="006A5534">
            <w:pPr>
              <w:pStyle w:val="ListBullet"/>
            </w:pPr>
            <w:r w:rsidRPr="006A5534">
              <w:t>composite samples</w:t>
            </w:r>
          </w:p>
          <w:p w:rsidR="00000000" w:rsidRPr="006A5534" w:rsidP="006A5534">
            <w:pPr>
              <w:pStyle w:val="ListBullet"/>
            </w:pPr>
            <w:r w:rsidRPr="006A5534">
              <w:t>quality control samples</w:t>
            </w:r>
          </w:p>
          <w:p w:rsidR="00000000" w:rsidRPr="006A5534" w:rsidP="006A5534">
            <w:pPr>
              <w:pStyle w:val="ListBullet"/>
            </w:pPr>
            <w:r w:rsidRPr="006A5534">
              <w:t>research or one-off samples</w:t>
            </w:r>
          </w:p>
          <w:p w:rsidR="00000000" w:rsidRPr="006A5534" w:rsidP="006A5534">
            <w:pPr>
              <w:pStyle w:val="ListBullet"/>
            </w:pPr>
            <w:r w:rsidRPr="006A5534">
              <w:t>environmental or survey samples</w:t>
            </w:r>
          </w:p>
          <w:p w:rsidR="00000000" w:rsidP="006A5534">
            <w:pPr>
              <w:pStyle w:val="ListBulle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Sampling 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Sampling tools and equipment incl</w:t>
            </w:r>
            <w:r w:rsidRPr="006A5534">
              <w:t>ude, but are not limited to, one or more of:</w:t>
            </w:r>
          </w:p>
          <w:p w:rsidR="00000000" w:rsidRPr="006A5534" w:rsidP="006A5534">
            <w:pPr>
              <w:pStyle w:val="ListBullet"/>
            </w:pPr>
            <w:r w:rsidRPr="006A5534">
              <w:t>shovels, augers, chain saws, front-end loader, backhoe, excavator and drill rig</w:t>
            </w:r>
          </w:p>
          <w:p w:rsidR="00000000" w:rsidRPr="006A5534" w:rsidP="006A5534">
            <w:pPr>
              <w:pStyle w:val="ListBullet"/>
            </w:pPr>
            <w:r w:rsidRPr="006A5534">
              <w:t>sampling frames, sampling tubes, dip tubes, spears, flexible bladders and syringes, sample thief, pumps and stainless steel bailer</w:t>
            </w:r>
            <w:r w:rsidRPr="006A5534">
              <w:t>s</w:t>
            </w:r>
          </w:p>
          <w:p w:rsidR="00000000" w:rsidRPr="006A5534" w:rsidP="006A5534">
            <w:pPr>
              <w:pStyle w:val="ListBullet"/>
            </w:pPr>
            <w:r w:rsidRPr="006A5534">
              <w:t>sample bottles or containers, plastic containers and disposable buckets</w:t>
            </w:r>
          </w:p>
          <w:p w:rsidR="00000000" w:rsidRPr="006A5534" w:rsidP="006A5534">
            <w:pPr>
              <w:pStyle w:val="ListBullet"/>
            </w:pPr>
            <w:r w:rsidRPr="006A5534">
              <w:t>access valves</w:t>
            </w:r>
          </w:p>
          <w:p w:rsidR="00000000" w:rsidRPr="006A5534" w:rsidP="006A5534">
            <w:pPr>
              <w:pStyle w:val="ListBullet"/>
            </w:pPr>
            <w:r w:rsidRPr="006A5534">
              <w:t>auto samplers</w:t>
            </w:r>
          </w:p>
          <w:p w:rsidR="00000000" w:rsidRPr="006A5534" w:rsidP="006A5534">
            <w:pPr>
              <w:pStyle w:val="ListBullet"/>
            </w:pPr>
            <w:r w:rsidRPr="006A5534">
              <w:t>traps and cages</w:t>
            </w:r>
          </w:p>
          <w:p w:rsidR="00000000" w:rsidRPr="006A5534" w:rsidP="006A5534">
            <w:pPr>
              <w:pStyle w:val="ListBullet"/>
            </w:pPr>
            <w:r w:rsidRPr="006A5534">
              <w:t>sterile containers, pipettes, inoculating loops and disposable spoons</w:t>
            </w:r>
          </w:p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Maintenance of integrity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Maintenance of integrity of s</w:t>
            </w:r>
            <w:r w:rsidRPr="006A5534">
              <w:t>amples includes one or more of:</w:t>
            </w:r>
          </w:p>
          <w:p w:rsidR="00000000" w:rsidRPr="006A5534" w:rsidP="006A5534">
            <w:pPr>
              <w:pStyle w:val="ListBullet"/>
            </w:pPr>
            <w:r w:rsidRPr="006A5534">
              <w:t>use of appropriate containers and lids, sealing of sample containers</w:t>
            </w:r>
          </w:p>
          <w:p w:rsidR="00000000" w:rsidRPr="006A5534" w:rsidP="006A5534">
            <w:pPr>
              <w:pStyle w:val="ListBullet"/>
            </w:pPr>
            <w:r w:rsidRPr="006A5534">
              <w:t>purging of sample lines and bores</w:t>
            </w:r>
          </w:p>
          <w:p w:rsidR="00000000" w:rsidRPr="006A5534" w:rsidP="006A5534">
            <w:pPr>
              <w:pStyle w:val="ListBullet"/>
            </w:pPr>
            <w:r w:rsidRPr="006A5534">
              <w:t>decontamination of sampling tools between collection of consecutive samples</w:t>
            </w:r>
          </w:p>
          <w:p w:rsidR="00000000" w:rsidRPr="006A5534" w:rsidP="006A5534">
            <w:pPr>
              <w:pStyle w:val="ListBullet"/>
            </w:pPr>
            <w:r w:rsidRPr="006A5534">
              <w:t>use of appropriate preservatives</w:t>
            </w:r>
          </w:p>
          <w:p w:rsidR="00000000" w:rsidRPr="006A5534" w:rsidP="006A5534">
            <w:pPr>
              <w:pStyle w:val="ListBullet"/>
            </w:pPr>
            <w:r w:rsidRPr="006A5534">
              <w:t>temperature control, which may involve insulation of the container in foil or wet newspaper, cloth, sand or sawdust, and separation of the sample and coolant</w:t>
            </w:r>
          </w:p>
          <w:p w:rsidR="00000000" w:rsidRPr="006A5534" w:rsidP="006A5534">
            <w:pPr>
              <w:pStyle w:val="ListBullet"/>
            </w:pPr>
            <w:r w:rsidRPr="006A5534">
              <w:t>transfer of sterile sample into sterile container</w:t>
            </w:r>
          </w:p>
          <w:p w:rsidR="00000000" w:rsidRPr="006A5534" w:rsidP="006A5534">
            <w:pPr>
              <w:pStyle w:val="ListBullet"/>
            </w:pPr>
            <w:r w:rsidRPr="006A5534">
              <w:t>handling and transport of samples to avoid distu</w:t>
            </w:r>
            <w:r w:rsidRPr="006A5534">
              <w:t>rbance or damage</w:t>
            </w:r>
          </w:p>
          <w:p w:rsidR="00000000" w:rsidRPr="006A5534" w:rsidP="006A5534">
            <w:pPr>
              <w:pStyle w:val="ListBullet"/>
            </w:pPr>
            <w:r w:rsidRPr="006A5534">
              <w:t>monitoring of storage conditions</w:t>
            </w:r>
          </w:p>
          <w:p w:rsidR="00000000" w:rsidRPr="006A5534" w:rsidP="006A5534">
            <w:pPr>
              <w:pStyle w:val="ListBullet"/>
            </w:pPr>
            <w:r w:rsidRPr="006A5534">
              <w:t>workplace/legal traceability through appropriate sample labelling and records</w:t>
            </w:r>
          </w:p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Safety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Safety procedures include, but are not limited to, one or more of:</w:t>
            </w:r>
          </w:p>
          <w:p w:rsidR="00000000" w:rsidRPr="006A5534" w:rsidP="006A5534">
            <w:pPr>
              <w:pStyle w:val="ListBullet"/>
            </w:pPr>
            <w:r w:rsidRPr="006A5534">
              <w:t>use of biohazard containers and laminar flow cabinets</w:t>
            </w:r>
          </w:p>
          <w:p w:rsidR="00000000" w:rsidRPr="006A5534" w:rsidP="006A5534">
            <w:pPr>
              <w:pStyle w:val="ListBullet"/>
            </w:pPr>
            <w:r w:rsidRPr="006A5534">
              <w:t>correct labelling of reagents and hazardous materials</w:t>
            </w:r>
          </w:p>
          <w:p w:rsidR="00000000" w:rsidRPr="006A5534" w:rsidP="006A5534">
            <w:pPr>
              <w:pStyle w:val="ListBullet"/>
            </w:pPr>
            <w:r w:rsidRPr="006A5534">
              <w:t>use of PPE</w:t>
            </w:r>
          </w:p>
          <w:p w:rsidR="00000000" w:rsidRPr="006A5534" w:rsidP="006A5534">
            <w:pPr>
              <w:pStyle w:val="ListBullet"/>
            </w:pPr>
            <w:r w:rsidRPr="006A5534">
              <w:t>handling, and storing hazardous materials and equipment in accordance with labels, MSDS, manufacturer instructions, and workplace procedu</w:t>
            </w:r>
            <w:r w:rsidRPr="006A5534">
              <w:t>res and regulations</w:t>
            </w:r>
          </w:p>
          <w:p w:rsidR="00000000" w:rsidRPr="006A5534" w:rsidP="006A5534">
            <w:pPr>
              <w:pStyle w:val="ListBullet"/>
            </w:pPr>
            <w:r w:rsidRPr="006A5534">
              <w:t>regular cleaning and/or decontamination of equipment and work areas</w:t>
            </w:r>
          </w:p>
          <w:p w:rsidR="00000000" w:rsidRPr="006A5534" w:rsidP="006A5534">
            <w:pPr>
              <w:pStyle w:val="ListBullet"/>
            </w:pPr>
            <w:r w:rsidRPr="006A5534">
              <w:t>machinery guards</w:t>
            </w:r>
          </w:p>
          <w:p w:rsidR="00000000" w:rsidRPr="006A5534" w:rsidP="006A5534">
            <w:pPr>
              <w:pStyle w:val="ListBullet"/>
            </w:pPr>
            <w:r w:rsidRPr="006A5534">
              <w:t>signage, barriers, service isolation tags, traffic control and flashing lights</w:t>
            </w:r>
          </w:p>
          <w:p w:rsidR="00000000" w:rsidRPr="006A5534" w:rsidP="006A5534">
            <w:pPr>
              <w:pStyle w:val="ListBullet"/>
            </w:pPr>
            <w:r w:rsidRPr="006A5534">
              <w:t>lock out and tag-out procedures</w:t>
            </w:r>
          </w:p>
          <w:p w:rsidR="00000000" w:rsidP="006A5534">
            <w:pPr>
              <w:pStyle w:val="BodyText"/>
              <w:rPr>
                <w:lang w:val="en-NZ"/>
              </w:rPr>
            </w:pPr>
          </w:p>
        </w:tc>
      </w:tr>
      <w:tr w:rsidTr="00C555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34">
            <w:pPr>
              <w:pStyle w:val="BodyText"/>
              <w:rPr>
                <w:lang w:val="en-NZ"/>
              </w:rPr>
            </w:pPr>
            <w:r w:rsidRPr="006A5534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34" w:rsidP="006A5534">
            <w:pPr>
              <w:pStyle w:val="BodyText"/>
            </w:pPr>
            <w:r w:rsidRPr="006A5534">
              <w:t>WHS and environmental management requirements include:</w:t>
            </w:r>
          </w:p>
          <w:p w:rsidR="00000000" w:rsidRPr="006A5534" w:rsidP="006A5534">
            <w:pPr>
              <w:pStyle w:val="BodyText"/>
            </w:pPr>
            <w:r w:rsidRPr="006A5534">
              <w:rPr>
                <w:rStyle w:val="Symbols"/>
              </w:rPr>
              <w:t></w:t>
            </w:r>
            <w:r w:rsidRPr="006A5534">
              <w:rPr>
                <w:rStyle w:val="Symbols"/>
              </w:rPr>
              <w:tab/>
            </w:r>
            <w:r w:rsidRPr="006A5534">
              <w:t>complying with WHS and environmental management requirements at all times, which may be imposed through state/territory or federal legislation. These re</w:t>
            </w:r>
            <w:r w:rsidRPr="006A5534">
              <w:t>quirements must not be compromised at any time</w:t>
            </w:r>
          </w:p>
          <w:p w:rsidR="00000000" w:rsidRPr="006A5534" w:rsidP="006A5534">
            <w:pPr>
              <w:pStyle w:val="BodyText"/>
            </w:pPr>
            <w:r w:rsidRPr="006A5534">
              <w:rPr>
                <w:rStyle w:val="Symbols"/>
              </w:rPr>
              <w:t></w:t>
            </w:r>
            <w:r w:rsidRPr="006A5534">
              <w:rPr>
                <w:rStyle w:val="Symbols"/>
              </w:rPr>
              <w:tab/>
            </w:r>
            <w:r w:rsidRPr="006A5534">
              <w:t>applying standard precautions relating to the potentially hazardous nature of samples</w:t>
            </w:r>
          </w:p>
          <w:p w:rsidR="00000000" w:rsidRPr="006A5534" w:rsidP="006A5534">
            <w:pPr>
              <w:pStyle w:val="ListBullet"/>
            </w:pPr>
            <w:r w:rsidRPr="006A5534">
              <w:t>accessing and applying current industry understanding of infection control issued by the National Health and Medical Res</w:t>
            </w:r>
            <w:r w:rsidRPr="006A5534">
              <w:t>earch Council (NHMRC) and State and Territory Departments of Health, where relevant</w:t>
            </w:r>
          </w:p>
        </w:tc>
      </w:tr>
    </w:tbl>
    <w:p w:rsidR="00000000" w:rsidRPr="006A5534" w:rsidP="006A5534">
      <w:pPr>
        <w:pStyle w:val="BodyText"/>
      </w:pP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9" w:name="O_902941"/>
      <w:bookmarkEnd w:id="9"/>
      <w:r w:rsidRPr="006A5534">
        <w:t>Unit Mapping Information</w:t>
      </w:r>
    </w:p>
    <w:p w:rsidR="00000000" w:rsidRPr="006A5534" w:rsidP="006A5534">
      <w:pPr>
        <w:pStyle w:val="BodyText"/>
      </w:pPr>
      <w:r w:rsidRPr="006A5534">
        <w:t xml:space="preserve">Release 1. Supersedes and is equivalent to MSL954001A Obtain representative samples in accordance with sampling plan  </w:t>
      </w:r>
    </w:p>
    <w:p w:rsidR="00000000" w:rsidRPr="006A5534" w:rsidP="006A5534">
      <w:pPr>
        <w:pStyle w:val="AllowPageBreak"/>
      </w:pPr>
    </w:p>
    <w:p w:rsidR="00000000" w:rsidRPr="006A5534" w:rsidP="006A5534">
      <w:pPr>
        <w:pStyle w:val="Heading1"/>
      </w:pPr>
      <w:bookmarkStart w:id="10" w:name="O_902934"/>
      <w:bookmarkEnd w:id="10"/>
      <w:r w:rsidRPr="006A5534">
        <w:t>Links</w:t>
      </w:r>
    </w:p>
    <w:p w:rsidR="00000000" w:rsidRPr="006A5534" w:rsidP="006A5534">
      <w:pPr>
        <w:pStyle w:val="BodyText"/>
      </w:pPr>
      <w:r w:rsidRPr="006A5534">
        <w:t>Companion Volume implementation guides are found in VETNet - https://vetnet.education.gov.au/Pages/TrainingDocs.aspx?q=5c63a03b-4a6b-4ae5-9560-1e3c5f462baa</w:t>
      </w:r>
    </w:p>
    <w:p w:rsidR="00000000" w:rsidRPr="006A5534" w:rsidP="006A5534"/>
    <w:sectPr w:rsidSect="006A55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34" w:rsidRPr="00C555B7" w:rsidP="00C55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B7" w:rsidP="006A5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5B7" w:rsidP="006A5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5B7" w:rsidP="006A5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534" w:rsidRPr="00C555B7" w:rsidP="00C55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B7" w:rsidRPr="002D2AF8" w:rsidP="006A5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MSL954001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C555B7" w:rsidP="006A5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FAD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8C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534"/>
  </w:style>
  <w:style w:type="character" w:customStyle="1" w:styleId="Heading1Char">
    <w:name w:val="Heading 1 Char"/>
    <w:basedOn w:val="DefaultParagraphFont"/>
    <w:link w:val="Heading1"/>
    <w:rsid w:val="006A5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5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534"/>
    <w:rPr>
      <w:b/>
      <w:spacing w:val="0"/>
    </w:rPr>
  </w:style>
  <w:style w:type="paragraph" w:customStyle="1" w:styleId="SuperHeading">
    <w:name w:val="SuperHeading"/>
    <w:basedOn w:val="Normal"/>
    <w:rsid w:val="006A5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A5534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6A5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5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534"/>
    <w:rPr>
      <w:i/>
    </w:rPr>
  </w:style>
  <w:style w:type="paragraph" w:styleId="Caption">
    <w:name w:val="caption"/>
    <w:basedOn w:val="BodyText"/>
    <w:next w:val="Normal"/>
    <w:qFormat/>
    <w:rsid w:val="006A5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534"/>
  </w:style>
  <w:style w:type="paragraph" w:styleId="TableofFigures">
    <w:name w:val="table of figures"/>
    <w:basedOn w:val="Normal"/>
    <w:next w:val="Normal"/>
    <w:semiHidden/>
    <w:rsid w:val="006A5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534"/>
    <w:pPr>
      <w:numPr>
        <w:numId w:val="10"/>
      </w:numPr>
    </w:pPr>
  </w:style>
  <w:style w:type="character" w:customStyle="1" w:styleId="WingdingSymbols">
    <w:name w:val="Wingding Symbols"/>
    <w:rsid w:val="006A5534"/>
    <w:rPr>
      <w:rFonts w:ascii="Wingdings" w:hAnsi="Wingdings"/>
    </w:rPr>
  </w:style>
  <w:style w:type="paragraph" w:customStyle="1" w:styleId="TableHeading">
    <w:name w:val="Table Heading"/>
    <w:basedOn w:val="HeadingBase"/>
    <w:rsid w:val="006A5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534"/>
    <w:rPr>
      <w:color w:val="0033CC"/>
      <w:u w:val="none"/>
    </w:rPr>
  </w:style>
  <w:style w:type="paragraph" w:customStyle="1" w:styleId="BodyTextRight">
    <w:name w:val="Body Text Right"/>
    <w:basedOn w:val="BodyText"/>
    <w:rsid w:val="006A5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534"/>
    <w:rPr>
      <w:sz w:val="32"/>
    </w:rPr>
  </w:style>
  <w:style w:type="paragraph" w:customStyle="1" w:styleId="HeadingProcedure">
    <w:name w:val="Heading Procedure"/>
    <w:basedOn w:val="HeadingBase"/>
    <w:next w:val="Normal"/>
    <w:rsid w:val="006A5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534"/>
    <w:pPr>
      <w:spacing w:before="60" w:after="60"/>
    </w:pPr>
  </w:style>
  <w:style w:type="paragraph" w:styleId="ListContinue">
    <w:name w:val="List Continue"/>
    <w:basedOn w:val="List"/>
    <w:rsid w:val="006A5534"/>
    <w:pPr>
      <w:ind w:firstLine="0"/>
    </w:pPr>
  </w:style>
  <w:style w:type="paragraph" w:customStyle="1" w:styleId="ListNote">
    <w:name w:val="List Note"/>
    <w:basedOn w:val="List"/>
    <w:rsid w:val="006A5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534"/>
    <w:rPr>
      <w:rFonts w:ascii="Courier New" w:hAnsi="Courier New"/>
    </w:rPr>
  </w:style>
  <w:style w:type="paragraph" w:customStyle="1" w:styleId="NoteBullet">
    <w:name w:val="Note Bullet"/>
    <w:basedOn w:val="Note"/>
    <w:rsid w:val="006A5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534"/>
    <w:rPr>
      <w:b/>
      <w:smallCaps/>
    </w:rPr>
  </w:style>
  <w:style w:type="paragraph" w:customStyle="1" w:styleId="TableListNumber">
    <w:name w:val="Table List Number"/>
    <w:basedOn w:val="ListNumber"/>
    <w:rsid w:val="006A5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534"/>
    <w:pPr>
      <w:numPr>
        <w:numId w:val="8"/>
      </w:numPr>
    </w:pPr>
  </w:style>
  <w:style w:type="paragraph" w:customStyle="1" w:styleId="ListAlpha2">
    <w:name w:val="List Alpha 2"/>
    <w:basedOn w:val="List2"/>
    <w:rsid w:val="006A5534"/>
    <w:pPr>
      <w:numPr>
        <w:numId w:val="7"/>
      </w:numPr>
    </w:pPr>
  </w:style>
  <w:style w:type="paragraph" w:styleId="List2">
    <w:name w:val="List 2"/>
    <w:basedOn w:val="BodyText"/>
    <w:rsid w:val="006A5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534"/>
    <w:pPr>
      <w:numPr>
        <w:numId w:val="3"/>
      </w:numPr>
    </w:pPr>
  </w:style>
  <w:style w:type="paragraph" w:styleId="ListContinue2">
    <w:name w:val="List Continue 2"/>
    <w:basedOn w:val="List2"/>
    <w:rsid w:val="006A5534"/>
    <w:pPr>
      <w:ind w:firstLine="0"/>
    </w:pPr>
  </w:style>
  <w:style w:type="paragraph" w:styleId="ListContinue3">
    <w:name w:val="List Continue 3"/>
    <w:basedOn w:val="List3"/>
    <w:rsid w:val="006A5534"/>
    <w:pPr>
      <w:ind w:left="1021" w:firstLine="0"/>
    </w:pPr>
  </w:style>
  <w:style w:type="paragraph" w:styleId="ListContinue4">
    <w:name w:val="List Continue 4"/>
    <w:basedOn w:val="List4"/>
    <w:rsid w:val="006A5534"/>
    <w:pPr>
      <w:ind w:firstLine="0"/>
    </w:pPr>
  </w:style>
  <w:style w:type="paragraph" w:styleId="ListContinue5">
    <w:name w:val="List Continue 5"/>
    <w:basedOn w:val="List5"/>
    <w:rsid w:val="006A5534"/>
    <w:pPr>
      <w:ind w:firstLine="0"/>
    </w:pPr>
  </w:style>
  <w:style w:type="paragraph" w:styleId="ListNumber3">
    <w:name w:val="List Number 3"/>
    <w:basedOn w:val="List3"/>
    <w:rsid w:val="006A5534"/>
    <w:pPr>
      <w:numPr>
        <w:numId w:val="4"/>
      </w:numPr>
    </w:pPr>
  </w:style>
  <w:style w:type="paragraph" w:styleId="ListNumber4">
    <w:name w:val="List Number 4"/>
    <w:basedOn w:val="List4"/>
    <w:rsid w:val="006A5534"/>
    <w:pPr>
      <w:numPr>
        <w:numId w:val="5"/>
      </w:numPr>
    </w:pPr>
  </w:style>
  <w:style w:type="paragraph" w:styleId="ListNumber5">
    <w:name w:val="List Number 5"/>
    <w:basedOn w:val="List5"/>
    <w:rsid w:val="006A5534"/>
    <w:pPr>
      <w:numPr>
        <w:numId w:val="6"/>
      </w:numPr>
    </w:pPr>
  </w:style>
  <w:style w:type="paragraph" w:styleId="BlockText">
    <w:name w:val="Block Text"/>
    <w:basedOn w:val="Normal"/>
    <w:rsid w:val="006A5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53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A5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534"/>
    <w:rPr>
      <w:b/>
    </w:rPr>
  </w:style>
  <w:style w:type="character" w:customStyle="1" w:styleId="Underlined">
    <w:name w:val="Underlined"/>
    <w:basedOn w:val="DefaultParagraphFont"/>
    <w:rsid w:val="006A5534"/>
    <w:rPr>
      <w:u w:val="single"/>
    </w:rPr>
  </w:style>
  <w:style w:type="paragraph" w:customStyle="1" w:styleId="TableBodyTextRight">
    <w:name w:val="Table Body Text Right"/>
    <w:basedOn w:val="TableBodyText"/>
    <w:rsid w:val="006A5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534"/>
    <w:rPr>
      <w:sz w:val="18"/>
    </w:rPr>
  </w:style>
  <w:style w:type="paragraph" w:customStyle="1" w:styleId="BodySmallRight">
    <w:name w:val="Body Small Right"/>
    <w:basedOn w:val="BodyTextRight"/>
    <w:rsid w:val="006A5534"/>
    <w:rPr>
      <w:sz w:val="18"/>
      <w:szCs w:val="18"/>
    </w:rPr>
  </w:style>
  <w:style w:type="paragraph" w:customStyle="1" w:styleId="MarginEdition">
    <w:name w:val="Margin Edition"/>
    <w:basedOn w:val="MarginNote"/>
    <w:rsid w:val="006A5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534"/>
    <w:rPr>
      <w:sz w:val="2"/>
      <w:szCs w:val="2"/>
    </w:rPr>
  </w:style>
  <w:style w:type="character" w:customStyle="1" w:styleId="Small">
    <w:name w:val="Small"/>
    <w:basedOn w:val="DefaultParagraphFont"/>
    <w:rsid w:val="006A5534"/>
    <w:rPr>
      <w:sz w:val="16"/>
    </w:rPr>
  </w:style>
  <w:style w:type="paragraph" w:customStyle="1" w:styleId="WideTable">
    <w:name w:val="Wide Table"/>
    <w:basedOn w:val="Normal"/>
    <w:rsid w:val="006A5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534"/>
  </w:style>
  <w:style w:type="paragraph" w:styleId="Quote">
    <w:name w:val="Quote"/>
    <w:basedOn w:val="Heading1"/>
    <w:link w:val="QuoteChar"/>
    <w:qFormat/>
    <w:rsid w:val="006A5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534"/>
    <w:pPr>
      <w:pageBreakBefore/>
    </w:pPr>
  </w:style>
  <w:style w:type="paragraph" w:customStyle="1" w:styleId="Border">
    <w:name w:val="Border"/>
    <w:basedOn w:val="Normal"/>
    <w:qFormat/>
    <w:rsid w:val="006A5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534"/>
    <w:rPr>
      <w:u w:val="single"/>
    </w:rPr>
  </w:style>
  <w:style w:type="character" w:customStyle="1" w:styleId="BoldandItalics">
    <w:name w:val="Bold and Italics"/>
    <w:qFormat/>
    <w:rsid w:val="006A5534"/>
    <w:rPr>
      <w:b/>
      <w:i/>
      <w:u w:val="none"/>
    </w:rPr>
  </w:style>
  <w:style w:type="paragraph" w:styleId="BalloonText">
    <w:name w:val="Balloon Text"/>
    <w:basedOn w:val="Normal"/>
    <w:link w:val="BalloonTextChar"/>
    <w:rsid w:val="006A5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53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7849</Characters>
  <Application>Microsoft Office Word</Application>
  <DocSecurity>0</DocSecurity>
  <Lines>302</Lines>
  <Paragraphs>143</Paragraphs>
  <ScaleCrop>false</ScaleCrop>
  <Company>Author-it Software Corporation Ltd.</Company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MSL954001 Obtain representative samples in accordance with sampling plan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2018-02-01T00:52:00Z</dcterms:created>
  <dcterms:modified xsi:type="dcterms:W3CDTF">2018-02-01T00:52:00Z</dcterms:modified>
</cp:coreProperties>
</file>