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49D3" w:rsidP="00F349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MSL954001 Obtain representative samples in accordance with sampling plan</w:t>
      </w:r>
      <w:r>
        <w:fldChar w:fldCharType="end"/>
      </w:r>
    </w:p>
    <w:p w:rsidR="00F349D3" w:rsidP="00F349D3">
      <w:pPr>
        <w:pStyle w:val="Version"/>
        <w:sectPr w:rsidSect="000C0E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0E26" w:rsidP="000C0E26">
      <w:pPr>
        <w:pStyle w:val="SuperHeading"/>
      </w:pPr>
      <w:r w:rsidRPr="000C0E26">
        <w:t>Assessment Requirements for MSL954001 Obtain representative samples in accordance with sampling plan</w:t>
      </w:r>
    </w:p>
    <w:p w:rsidR="00000000" w:rsidRPr="000C0E26" w:rsidP="000C0E26">
      <w:pPr>
        <w:pStyle w:val="Heading1"/>
      </w:pPr>
      <w:bookmarkStart w:id="1" w:name="O_902936"/>
      <w:bookmarkEnd w:id="1"/>
      <w:r w:rsidRPr="000C0E26">
        <w:t>Modification History</w:t>
      </w:r>
    </w:p>
    <w:p w:rsidR="00000000" w:rsidRPr="000C0E26" w:rsidP="000C0E26">
      <w:pPr>
        <w:pStyle w:val="BodyText"/>
      </w:pPr>
      <w:r w:rsidRPr="000C0E26">
        <w:t xml:space="preserve">Release 1. Supersedes and is equivalent to MSL954001A Obtain representative samples in accordance with sampling plan  </w:t>
      </w:r>
    </w:p>
    <w:p w:rsidR="00000000" w:rsidRPr="000C0E26" w:rsidP="000C0E26">
      <w:pPr>
        <w:pStyle w:val="AllowPageBreak"/>
      </w:pPr>
    </w:p>
    <w:p w:rsidR="00000000" w:rsidRPr="000C0E26" w:rsidP="000C0E26">
      <w:pPr>
        <w:pStyle w:val="Heading1"/>
      </w:pPr>
      <w:bookmarkStart w:id="2" w:name="O_902939"/>
      <w:bookmarkEnd w:id="2"/>
      <w:r w:rsidRPr="000C0E26">
        <w:t>Performance Evidence</w:t>
      </w:r>
    </w:p>
    <w:p w:rsidR="00000000" w:rsidRPr="000C0E26" w:rsidP="000C0E26">
      <w:pPr>
        <w:pStyle w:val="BodyText"/>
      </w:pPr>
      <w:r w:rsidRPr="000C0E26">
        <w:t>Evidence of competence in this unit must satisfy all of the requirements of the elements and perfor</w:t>
      </w:r>
      <w:r w:rsidRPr="000C0E26">
        <w:t>mance criteria, and include demonstration of:</w:t>
      </w:r>
    </w:p>
    <w:p w:rsidR="00000000" w:rsidRPr="000C0E26" w:rsidP="000C0E26">
      <w:pPr>
        <w:pStyle w:val="ListBullet"/>
      </w:pPr>
      <w:r w:rsidRPr="000C0E26">
        <w:t>using a range of site sampling plans, samples and sampling procedures</w:t>
      </w:r>
    </w:p>
    <w:p w:rsidR="00000000" w:rsidRPr="000C0E26" w:rsidP="000C0E26">
      <w:pPr>
        <w:pStyle w:val="ListBullet"/>
      </w:pPr>
      <w:r w:rsidRPr="000C0E26">
        <w:t>sampling from a range of sampling points and locations</w:t>
      </w:r>
    </w:p>
    <w:p w:rsidR="00000000" w:rsidRPr="000C0E26" w:rsidP="000C0E26">
      <w:pPr>
        <w:pStyle w:val="ListBullet"/>
      </w:pPr>
      <w:r w:rsidRPr="000C0E26">
        <w:t xml:space="preserve">obtaining samples that are representative of the source material in accordance with </w:t>
      </w:r>
      <w:r w:rsidRPr="000C0E26">
        <w:t>a sampling plan on at least three (3) occasions</w:t>
      </w:r>
    </w:p>
    <w:p w:rsidR="00000000" w:rsidRPr="000C0E26" w:rsidP="000C0E26">
      <w:pPr>
        <w:pStyle w:val="ListBullet"/>
      </w:pPr>
      <w:r w:rsidRPr="000C0E26">
        <w:t>obtaining at least three (3) different types of samples in accordance with sampling plans</w:t>
      </w:r>
    </w:p>
    <w:p w:rsidR="00000000" w:rsidRPr="000C0E26" w:rsidP="000C0E26">
      <w:pPr>
        <w:pStyle w:val="ListBullet"/>
      </w:pPr>
      <w:r w:rsidRPr="000C0E26">
        <w:t>collecting the specified quantity of sample to enable all processing and testing to occur and back-up samples to be st</w:t>
      </w:r>
      <w:r w:rsidRPr="000C0E26">
        <w:t>ored</w:t>
      </w:r>
    </w:p>
    <w:p w:rsidR="00000000" w:rsidRPr="000C0E26" w:rsidP="000C0E26">
      <w:pPr>
        <w:pStyle w:val="ListBullet"/>
      </w:pPr>
      <w:r w:rsidRPr="000C0E26">
        <w:t>preparing samples for testing</w:t>
      </w:r>
    </w:p>
    <w:p w:rsidR="00000000" w:rsidRPr="000C0E26" w:rsidP="000C0E26">
      <w:pPr>
        <w:pStyle w:val="ListBullet"/>
      </w:pPr>
      <w:r w:rsidRPr="000C0E26">
        <w:t>labelling samples and sub-samples and maintaining the integrity and security of samples following workplace and/or legal traceability requirements</w:t>
      </w:r>
    </w:p>
    <w:p w:rsidR="00000000" w:rsidRPr="000C0E26" w:rsidP="000C0E26">
      <w:pPr>
        <w:pStyle w:val="ListBullet"/>
      </w:pPr>
      <w:r w:rsidRPr="000C0E26">
        <w:t>identifying atypical materials and samples and taking appropriate action</w:t>
      </w:r>
    </w:p>
    <w:p w:rsidR="00000000" w:rsidRPr="000C0E26" w:rsidP="000C0E26">
      <w:pPr>
        <w:pStyle w:val="ListBullet"/>
      </w:pPr>
      <w:r w:rsidRPr="000C0E26">
        <w:t>m</w:t>
      </w:r>
      <w:r w:rsidRPr="000C0E26">
        <w:t>aintaining sampling equipment in appropriate condition</w:t>
      </w:r>
    </w:p>
    <w:p w:rsidR="00000000" w:rsidRPr="000C0E26" w:rsidP="000C0E26">
      <w:pPr>
        <w:pStyle w:val="ListBullet"/>
      </w:pPr>
      <w:r w:rsidRPr="000C0E26">
        <w:t>completing sampling records using workplace procedures</w:t>
      </w:r>
    </w:p>
    <w:p w:rsidR="00000000" w:rsidRPr="000C0E26" w:rsidP="000C0E26">
      <w:pPr>
        <w:pStyle w:val="ListBullet"/>
      </w:pPr>
      <w:r w:rsidRPr="000C0E26">
        <w:t>following safety regulations and work health and safety (WHS) procedures during sampling, transport and storage</w:t>
      </w:r>
    </w:p>
    <w:p w:rsidR="00000000" w:rsidRPr="000C0E26" w:rsidP="000C0E26">
      <w:pPr>
        <w:pStyle w:val="ListBullet"/>
      </w:pPr>
      <w:r w:rsidRPr="000C0E26">
        <w:t>following requirements for the dis</w:t>
      </w:r>
      <w:r w:rsidRPr="000C0E26">
        <w:t>posal of waste and the preservation of the environment.</w:t>
      </w:r>
    </w:p>
    <w:p w:rsidR="00000000" w:rsidRPr="000C0E26" w:rsidP="000C0E26">
      <w:pPr>
        <w:pStyle w:val="AllowPageBreak"/>
      </w:pPr>
    </w:p>
    <w:p w:rsidR="00000000" w:rsidRPr="000C0E26" w:rsidP="000C0E26">
      <w:pPr>
        <w:pStyle w:val="Heading1"/>
      </w:pPr>
      <w:bookmarkStart w:id="3" w:name="O_902938"/>
      <w:bookmarkEnd w:id="3"/>
      <w:r w:rsidRPr="000C0E26">
        <w:t>Knowledge Evidence</w:t>
      </w:r>
    </w:p>
    <w:p w:rsidR="00000000" w:rsidRPr="000C0E26" w:rsidP="000C0E26">
      <w:pPr>
        <w:pStyle w:val="BodyText"/>
      </w:pPr>
      <w:r w:rsidRPr="000C0E26">
        <w:t>Must provide evidence that demonstrates knowledge of:</w:t>
      </w:r>
    </w:p>
    <w:p w:rsidR="00000000" w:rsidRPr="000C0E26" w:rsidP="000C0E26">
      <w:pPr>
        <w:pStyle w:val="ListBullet"/>
      </w:pPr>
      <w:r w:rsidRPr="000C0E26">
        <w:t>principles of representative sampling, including:</w:t>
      </w:r>
    </w:p>
    <w:p w:rsidR="00000000" w:rsidRPr="000C0E26" w:rsidP="000C0E26">
      <w:pPr>
        <w:pStyle w:val="ListBullet"/>
      </w:pPr>
      <w:r w:rsidRPr="000C0E26">
        <w:t>representative samples</w:t>
      </w:r>
    </w:p>
    <w:p w:rsidR="00000000" w:rsidRPr="000C0E26" w:rsidP="000C0E26">
      <w:pPr>
        <w:pStyle w:val="ListBullet"/>
      </w:pPr>
      <w:r w:rsidRPr="000C0E26">
        <w:t>preservation of integrity of samples</w:t>
      </w:r>
    </w:p>
    <w:p w:rsidR="00000000" w:rsidRPr="000C0E26" w:rsidP="000C0E26">
      <w:pPr>
        <w:pStyle w:val="ListBullet"/>
      </w:pPr>
      <w:r w:rsidRPr="000C0E26">
        <w:t>maintaining identification of samples relative to their source, workplace and legal traceability</w:t>
      </w:r>
    </w:p>
    <w:p w:rsidR="00000000" w:rsidRPr="000C0E26" w:rsidP="000C0E26">
      <w:pPr>
        <w:pStyle w:val="ListBullet"/>
      </w:pPr>
      <w:r w:rsidRPr="000C0E26">
        <w:t>cost-effectiveness of sampling</w:t>
      </w:r>
    </w:p>
    <w:p w:rsidR="00000000" w:rsidRPr="000C0E26" w:rsidP="000C0E26">
      <w:pPr>
        <w:pStyle w:val="ListBullet"/>
      </w:pPr>
      <w:r w:rsidRPr="000C0E26">
        <w:t>consistency of sampling procedures</w:t>
      </w:r>
    </w:p>
    <w:p w:rsidR="00000000" w:rsidRPr="000C0E26" w:rsidP="000C0E26">
      <w:pPr>
        <w:pStyle w:val="ListBullet"/>
      </w:pPr>
      <w:r w:rsidRPr="000C0E26">
        <w:t>sampling principles, including random, systematic and stratified sampling</w:t>
      </w:r>
    </w:p>
    <w:p w:rsidR="00000000" w:rsidRPr="000C0E26" w:rsidP="000C0E26">
      <w:pPr>
        <w:pStyle w:val="ListBullet"/>
      </w:pPr>
      <w:r w:rsidRPr="000C0E26">
        <w:t>characteristics of</w:t>
      </w:r>
      <w:r w:rsidRPr="000C0E26">
        <w:t xml:space="preserve"> product/materials sampled as part of job role and likely contaminants</w:t>
      </w:r>
    </w:p>
    <w:p w:rsidR="00000000" w:rsidRPr="000C0E26" w:rsidP="000C0E26">
      <w:pPr>
        <w:pStyle w:val="ListBullet"/>
      </w:pPr>
      <w:r w:rsidRPr="000C0E26">
        <w:t>function of key sampling equipment/materials and principles of operation</w:t>
      </w:r>
    </w:p>
    <w:p w:rsidR="00000000" w:rsidRPr="000C0E26" w:rsidP="000C0E26">
      <w:pPr>
        <w:pStyle w:val="ListBullet"/>
      </w:pPr>
      <w:r w:rsidRPr="000C0E26">
        <w:t>sampling procedures covering labelling, preparation, storage, transport and disposal, workplace and/or legal tra</w:t>
      </w:r>
      <w:r w:rsidRPr="000C0E26">
        <w:t>ceability requirements</w:t>
      </w:r>
    </w:p>
    <w:p w:rsidR="00000000" w:rsidRPr="000C0E26" w:rsidP="000C0E26">
      <w:pPr>
        <w:pStyle w:val="ListBullet"/>
      </w:pPr>
      <w:r w:rsidRPr="000C0E26">
        <w:t>links between quality control, quality assurance, quality management systems and sampling procedures</w:t>
      </w:r>
    </w:p>
    <w:p w:rsidR="00000000" w:rsidRPr="000C0E26" w:rsidP="000C0E26">
      <w:pPr>
        <w:pStyle w:val="ListBullet"/>
      </w:pPr>
      <w:r w:rsidRPr="000C0E26">
        <w:t>workplace procedures dealing with legislative requirements for the handling, labelling and transport of hazardous goods</w:t>
      </w:r>
    </w:p>
    <w:p w:rsidR="00000000" w:rsidRPr="000C0E26" w:rsidP="000C0E26">
      <w:pPr>
        <w:pStyle w:val="ListBullet"/>
      </w:pPr>
      <w:r w:rsidRPr="000C0E26">
        <w:t>site and sam</w:t>
      </w:r>
      <w:r w:rsidRPr="000C0E26">
        <w:t>pling hazards and the links between following WHS procedures and personal and environmental safety, particularly at high risk sites.</w:t>
      </w:r>
    </w:p>
    <w:p w:rsidR="00000000" w:rsidRPr="000C0E26" w:rsidP="000C0E26">
      <w:pPr>
        <w:pStyle w:val="AllowPageBreak"/>
      </w:pPr>
    </w:p>
    <w:p w:rsidR="00000000" w:rsidRPr="000C0E26" w:rsidP="000C0E26">
      <w:pPr>
        <w:pStyle w:val="Heading1"/>
      </w:pPr>
      <w:bookmarkStart w:id="4" w:name="O_902937"/>
      <w:bookmarkEnd w:id="4"/>
      <w:r w:rsidRPr="000C0E26">
        <w:t>Assessment Conditions</w:t>
      </w:r>
    </w:p>
    <w:p w:rsidR="00000000" w:rsidRPr="000C0E26" w:rsidP="000C0E26">
      <w:pPr>
        <w:pStyle w:val="ListBullet"/>
      </w:pPr>
      <w:r w:rsidRPr="000C0E26">
        <w:t>Judgement of competence must be based on holistic assessment of the evidence. Asses</w:t>
      </w:r>
      <w:r w:rsidRPr="000C0E26">
        <w:t xml:space="preserve">sment methods must confirm consistency of performance over time, rather than a single assessment event. </w:t>
      </w:r>
    </w:p>
    <w:p w:rsidR="00000000" w:rsidRPr="000C0E26" w:rsidP="000C0E26">
      <w:pPr>
        <w:pStyle w:val="ListBullet"/>
      </w:pPr>
      <w:r w:rsidRPr="000C0E26">
        <w:t>This unit of competency is to be assessed in the workplace or a simulated workplace environment. A simulated workplace environment must reflect realist</w:t>
      </w:r>
      <w:r w:rsidRPr="000C0E26">
        <w:t>ic operational workplace conditions that cover all aspects of workplace performance, including the environment, task skills, task management skills, contingency management skills and job role environment skills.</w:t>
      </w:r>
    </w:p>
    <w:p w:rsidR="00000000" w:rsidRPr="000C0E26" w:rsidP="000C0E26">
      <w:pPr>
        <w:pStyle w:val="ListBullet"/>
      </w:pPr>
      <w:r w:rsidRPr="000C0E26">
        <w:t xml:space="preserve">Foundation skills are integral to competent </w:t>
      </w:r>
      <w:r w:rsidRPr="000C0E26">
        <w:t xml:space="preserve">performance of the unit and should not be assessed separately. </w:t>
      </w:r>
    </w:p>
    <w:p w:rsidR="00000000" w:rsidRPr="000C0E26" w:rsidP="000C0E26">
      <w:pPr>
        <w:pStyle w:val="ListBullet"/>
      </w:pPr>
      <w:r w:rsidRPr="000C0E26">
        <w:t>Assessment processes and techniques must be appropriate to the language, literacy and numeracy requirements of the work being performed and the needs of the candidate.</w:t>
      </w:r>
    </w:p>
    <w:p w:rsidR="00000000" w:rsidRPr="000C0E26" w:rsidP="000C0E26">
      <w:pPr>
        <w:pStyle w:val="ListBullet"/>
      </w:pPr>
      <w:r w:rsidRPr="000C0E26">
        <w:t>Knowledge evidence may b</w:t>
      </w:r>
      <w:r w:rsidRPr="000C0E26">
        <w:t>e collected concurrently with performance evidence or through an independent process, such as workbooks, written assessments or interviews (provided a record is kept in each case).</w:t>
      </w:r>
    </w:p>
    <w:p w:rsidR="00000000" w:rsidRPr="000C0E26" w:rsidP="000C0E26">
      <w:pPr>
        <w:pStyle w:val="ListBullet"/>
      </w:pPr>
      <w:r w:rsidRPr="000C0E26">
        <w:t xml:space="preserve">This unit of competency may be assessed with: </w:t>
      </w:r>
    </w:p>
    <w:p w:rsidR="00000000" w:rsidRPr="000C0E26" w:rsidP="000C0E26">
      <w:pPr>
        <w:pStyle w:val="ListBullet2"/>
      </w:pPr>
      <w:r w:rsidRPr="000C0E26">
        <w:t>MSL924001 Process and inter</w:t>
      </w:r>
      <w:r w:rsidRPr="000C0E26">
        <w:t>pret data</w:t>
      </w:r>
    </w:p>
    <w:p w:rsidR="00000000" w:rsidRPr="000C0E26" w:rsidP="000C0E26">
      <w:pPr>
        <w:pStyle w:val="ListBullet2"/>
      </w:pPr>
      <w:r w:rsidRPr="000C0E26">
        <w:t>MSL943002 Participate in laboratory or field workplace safety</w:t>
      </w:r>
    </w:p>
    <w:p w:rsidR="00000000" w:rsidRPr="000C0E26" w:rsidP="000C0E26">
      <w:pPr>
        <w:pStyle w:val="ListBullet2"/>
      </w:pPr>
      <w:r w:rsidRPr="000C0E26">
        <w:t>relevant MSL974000 series units of competency</w:t>
      </w:r>
    </w:p>
    <w:p w:rsidR="00000000" w:rsidRPr="000C0E26" w:rsidP="000C0E26">
      <w:pPr>
        <w:pStyle w:val="ListBullet2"/>
      </w:pPr>
      <w:r w:rsidRPr="000C0E26">
        <w:t>relevant MSL975000 series units of competency relevant to the sampling</w:t>
      </w:r>
    </w:p>
    <w:p w:rsidR="00000000" w:rsidRPr="000C0E26" w:rsidP="000C0E26">
      <w:pPr>
        <w:pStyle w:val="ListBullet"/>
      </w:pPr>
      <w:r w:rsidRPr="000C0E26">
        <w:t xml:space="preserve">Holistic assessment methods include: </w:t>
      </w:r>
    </w:p>
    <w:p w:rsidR="00000000" w:rsidRPr="000C0E26" w:rsidP="000C0E26">
      <w:pPr>
        <w:pStyle w:val="ListBullet2"/>
      </w:pPr>
      <w:r w:rsidRPr="000C0E26">
        <w:t>inspection of samples collected by the candidate</w:t>
      </w:r>
    </w:p>
    <w:p w:rsidR="00000000" w:rsidRPr="000C0E26" w:rsidP="000C0E26">
      <w:pPr>
        <w:pStyle w:val="ListBullet2"/>
      </w:pPr>
      <w:r w:rsidRPr="000C0E26">
        <w:t>review of sampling documentation completed by the candidate</w:t>
      </w:r>
    </w:p>
    <w:p w:rsidR="00000000" w:rsidRPr="000C0E26" w:rsidP="000C0E26">
      <w:pPr>
        <w:pStyle w:val="ListBullet2"/>
      </w:pPr>
      <w:r w:rsidRPr="000C0E26">
        <w:t>observation of the candidate taking and preparing a range of samples</w:t>
      </w:r>
    </w:p>
    <w:p w:rsidR="00000000" w:rsidRPr="000C0E26" w:rsidP="000C0E26">
      <w:pPr>
        <w:pStyle w:val="ListBullet2"/>
      </w:pPr>
      <w:r w:rsidRPr="000C0E26">
        <w:t>feedback from peers, customers and supervisors that sampling plans were follow</w:t>
      </w:r>
      <w:r w:rsidRPr="000C0E26">
        <w:t>ed</w:t>
      </w:r>
    </w:p>
    <w:p w:rsidR="00000000" w:rsidRPr="000C0E26" w:rsidP="000C0E26">
      <w:pPr>
        <w:pStyle w:val="ListBullet2"/>
      </w:pPr>
      <w:r w:rsidRPr="000C0E26">
        <w:t>questioning to assess required knowledge of representative sampling procedures.</w:t>
      </w:r>
    </w:p>
    <w:p w:rsidR="00000000" w:rsidRPr="000C0E26" w:rsidP="000C0E26">
      <w:pPr>
        <w:pStyle w:val="ListBullet"/>
      </w:pPr>
      <w:r w:rsidRPr="000C0E26">
        <w:t>Access is required to instruments, equipment, materials, workplace documentation, procedures and specifications associated with this unit, including, but not limited to:</w:t>
      </w:r>
    </w:p>
    <w:p w:rsidR="00000000" w:rsidRPr="000C0E26" w:rsidP="000C0E26">
      <w:pPr>
        <w:pStyle w:val="ListBullet2"/>
      </w:pPr>
      <w:r w:rsidRPr="000C0E26">
        <w:t>s</w:t>
      </w:r>
      <w:r w:rsidRPr="000C0E26">
        <w:t>ource material, including raw ingredients, product in process and final products</w:t>
      </w:r>
    </w:p>
    <w:p w:rsidR="00000000" w:rsidRPr="000C0E26" w:rsidP="000C0E26">
      <w:pPr>
        <w:pStyle w:val="ListBullet2"/>
      </w:pPr>
      <w:r w:rsidRPr="000C0E26">
        <w:t>a variety of sample types, sampling plans and procedures, sampling containers and sampling equipment, and sample preparation materials and equipment.</w:t>
      </w:r>
    </w:p>
    <w:p w:rsidR="00000000" w:rsidRPr="000C0E26" w:rsidP="000C0E26">
      <w:pPr>
        <w:pStyle w:val="ListBullet"/>
      </w:pPr>
      <w:r w:rsidRPr="000C0E26">
        <w:t>Assessors must satisfy t</w:t>
      </w:r>
      <w:r w:rsidRPr="000C0E26">
        <w:t xml:space="preserve">he assessor competency requirements that are in place at the time of the assessment as set by the VET regulator.  </w:t>
      </w:r>
    </w:p>
    <w:p w:rsidR="00000000" w:rsidRPr="000C0E26" w:rsidP="000C0E26">
      <w:pPr>
        <w:pStyle w:val="ListBullet"/>
      </w:pPr>
      <w:r w:rsidRPr="000C0E26">
        <w:t>The assessor must demonstrate both technical competence and currency.</w:t>
      </w:r>
    </w:p>
    <w:p w:rsidR="00000000" w:rsidRPr="000C0E26" w:rsidP="000C0E26">
      <w:pPr>
        <w:pStyle w:val="ListBullet"/>
      </w:pPr>
      <w:r w:rsidRPr="000C0E26">
        <w:t>Technical competence can be demonstrated through:</w:t>
      </w:r>
    </w:p>
    <w:p w:rsidR="00000000" w:rsidRPr="000C0E26" w:rsidP="000C0E26">
      <w:pPr>
        <w:pStyle w:val="ListBullet2"/>
      </w:pPr>
      <w:r w:rsidRPr="000C0E26">
        <w:t>relevant VET or other qualification/Statement of Attainment AND/OR</w:t>
      </w:r>
    </w:p>
    <w:p w:rsidR="00000000" w:rsidRPr="000C0E26" w:rsidP="000C0E26">
      <w:pPr>
        <w:pStyle w:val="ListBullet2"/>
      </w:pPr>
      <w:r w:rsidRPr="000C0E26">
        <w:t>relevant workplace experience.</w:t>
      </w:r>
    </w:p>
    <w:p w:rsidR="00000000" w:rsidRPr="000C0E26" w:rsidP="000C0E26">
      <w:pPr>
        <w:pStyle w:val="ListBullet"/>
      </w:pPr>
      <w:r w:rsidRPr="000C0E26">
        <w:t>Currency can be demonstrated through:</w:t>
      </w:r>
    </w:p>
    <w:p w:rsidR="00000000" w:rsidRPr="000C0E26" w:rsidP="000C0E26">
      <w:pPr>
        <w:pStyle w:val="ListBullet2"/>
      </w:pPr>
      <w:r w:rsidRPr="000C0E26">
        <w:t>performing the competency being assessed as part of current employment OR</w:t>
      </w:r>
    </w:p>
    <w:p w:rsidR="00000000" w:rsidRPr="000C0E26" w:rsidP="000C0E26">
      <w:pPr>
        <w:pStyle w:val="ListBullet2"/>
      </w:pPr>
      <w:r w:rsidRPr="000C0E26">
        <w:t>having consulted with a laboratory about per</w:t>
      </w:r>
      <w:r w:rsidRPr="000C0E26">
        <w:t>forming the competency being assessed within the last twelve months.</w:t>
      </w:r>
    </w:p>
    <w:p w:rsidR="00000000" w:rsidRPr="000C0E26" w:rsidP="000C0E26">
      <w:pPr>
        <w:pStyle w:val="AllowPageBreak"/>
      </w:pPr>
    </w:p>
    <w:p w:rsidR="00000000" w:rsidRPr="000C0E26" w:rsidP="000C0E26">
      <w:pPr>
        <w:pStyle w:val="Heading1"/>
      </w:pPr>
      <w:bookmarkStart w:id="5" w:name="O_902935"/>
      <w:bookmarkEnd w:id="5"/>
      <w:r w:rsidRPr="000C0E26">
        <w:t>Links</w:t>
      </w:r>
    </w:p>
    <w:p w:rsidR="00000000" w:rsidRPr="000C0E26" w:rsidP="000C0E26">
      <w:pPr>
        <w:pStyle w:val="BodyText"/>
      </w:pPr>
      <w:r w:rsidRPr="000C0E26">
        <w:t>Companion Volume implementation guides are found in VETNet - https://vetnet.education.gov.au/Pages/TrainingDocs.aspx?q=5c63a03b-4a6b-4ae5-9560-1e3c5f462baa</w:t>
      </w:r>
    </w:p>
    <w:p w:rsidR="00000000" w:rsidRPr="000C0E26" w:rsidP="000C0E26"/>
    <w:sectPr w:rsidSect="000C0E2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E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E26" w:rsidRPr="00F349D3" w:rsidP="00F349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E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9D3" w:rsidP="000C0E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49D3" w:rsidP="000C0E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349D3" w:rsidP="000C0E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E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9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0E26" w:rsidRPr="00F349D3" w:rsidP="00F349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E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9D3" w:rsidRPr="002D2AF8" w:rsidP="000C0E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MSL954001 Obtain representative samples in accordance with sampling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February 2018</w:t>
    </w:r>
    <w:r>
      <w:fldChar w:fldCharType="end"/>
    </w:r>
  </w:p>
  <w:p w:rsidR="00F349D3" w:rsidP="000C0E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6099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A80A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FC29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E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0E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0E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0E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0E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0E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0E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0E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0E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0E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0E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0E26"/>
  </w:style>
  <w:style w:type="character" w:customStyle="1" w:styleId="Heading1Char">
    <w:name w:val="Heading 1 Char"/>
    <w:basedOn w:val="DefaultParagraphFont"/>
    <w:link w:val="Heading1"/>
    <w:rsid w:val="000C0E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0E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0E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0E2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C0E2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0E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0E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0E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0E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0E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0E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0E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0E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0E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0E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0E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0E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0E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0E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0E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0E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0E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0E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0E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0E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0E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0E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0E26"/>
    <w:rPr>
      <w:b/>
      <w:spacing w:val="0"/>
    </w:rPr>
  </w:style>
  <w:style w:type="paragraph" w:customStyle="1" w:styleId="SuperTitle">
    <w:name w:val="SuperTitle"/>
    <w:basedOn w:val="Title"/>
    <w:rsid w:val="000C0E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0E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0E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0E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0E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0E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0E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0E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0E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0E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0E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0E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0E26"/>
    <w:rPr>
      <w:i/>
    </w:rPr>
  </w:style>
  <w:style w:type="paragraph" w:styleId="Caption">
    <w:name w:val="caption"/>
    <w:basedOn w:val="BodyText"/>
    <w:next w:val="Normal"/>
    <w:qFormat/>
    <w:rsid w:val="000C0E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0E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0E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0E26"/>
  </w:style>
  <w:style w:type="paragraph" w:styleId="TableofFigures">
    <w:name w:val="table of figures"/>
    <w:basedOn w:val="Normal"/>
    <w:next w:val="Normal"/>
    <w:semiHidden/>
    <w:rsid w:val="000C0E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0E26"/>
    <w:pPr>
      <w:numPr>
        <w:numId w:val="11"/>
      </w:numPr>
    </w:pPr>
  </w:style>
  <w:style w:type="character" w:customStyle="1" w:styleId="WingdingSymbols">
    <w:name w:val="Wingding Symbols"/>
    <w:rsid w:val="000C0E26"/>
    <w:rPr>
      <w:rFonts w:ascii="Wingdings" w:hAnsi="Wingdings"/>
    </w:rPr>
  </w:style>
  <w:style w:type="paragraph" w:customStyle="1" w:styleId="TableHeading">
    <w:name w:val="Table Heading"/>
    <w:basedOn w:val="HeadingBase"/>
    <w:rsid w:val="000C0E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0E26"/>
    <w:rPr>
      <w:color w:val="0033CC"/>
      <w:u w:val="none"/>
    </w:rPr>
  </w:style>
  <w:style w:type="paragraph" w:customStyle="1" w:styleId="BodyTextRight">
    <w:name w:val="Body Text Right"/>
    <w:basedOn w:val="BodyText"/>
    <w:rsid w:val="000C0E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0E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0E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0E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0E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0E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0E26"/>
    <w:rPr>
      <w:sz w:val="32"/>
    </w:rPr>
  </w:style>
  <w:style w:type="paragraph" w:customStyle="1" w:styleId="HeadingProcedure">
    <w:name w:val="Heading Procedure"/>
    <w:basedOn w:val="HeadingBase"/>
    <w:next w:val="Normal"/>
    <w:rsid w:val="000C0E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0E26"/>
    <w:pPr>
      <w:spacing w:before="60" w:after="60"/>
    </w:pPr>
  </w:style>
  <w:style w:type="paragraph" w:styleId="ListContinue">
    <w:name w:val="List Continue"/>
    <w:basedOn w:val="List"/>
    <w:rsid w:val="000C0E26"/>
    <w:pPr>
      <w:ind w:firstLine="0"/>
    </w:pPr>
  </w:style>
  <w:style w:type="paragraph" w:customStyle="1" w:styleId="ListNote">
    <w:name w:val="List Note"/>
    <w:basedOn w:val="List"/>
    <w:rsid w:val="000C0E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0E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0E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0E26"/>
    <w:rPr>
      <w:rFonts w:ascii="Courier New" w:hAnsi="Courier New"/>
    </w:rPr>
  </w:style>
  <w:style w:type="paragraph" w:customStyle="1" w:styleId="NoteBullet">
    <w:name w:val="Note Bullet"/>
    <w:basedOn w:val="Note"/>
    <w:rsid w:val="000C0E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0E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0E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0E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0E2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C0E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0E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0E26"/>
    <w:rPr>
      <w:b/>
      <w:smallCaps/>
    </w:rPr>
  </w:style>
  <w:style w:type="paragraph" w:customStyle="1" w:styleId="TableListNumber">
    <w:name w:val="Table List Number"/>
    <w:basedOn w:val="ListNumber"/>
    <w:rsid w:val="000C0E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0E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0E26"/>
    <w:pPr>
      <w:numPr>
        <w:numId w:val="9"/>
      </w:numPr>
    </w:pPr>
  </w:style>
  <w:style w:type="paragraph" w:customStyle="1" w:styleId="ListAlpha2">
    <w:name w:val="List Alpha 2"/>
    <w:basedOn w:val="List2"/>
    <w:rsid w:val="000C0E26"/>
    <w:pPr>
      <w:numPr>
        <w:numId w:val="8"/>
      </w:numPr>
    </w:pPr>
  </w:style>
  <w:style w:type="paragraph" w:styleId="List2">
    <w:name w:val="List 2"/>
    <w:basedOn w:val="BodyText"/>
    <w:rsid w:val="000C0E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0E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0E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0E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0E2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0E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0E26"/>
    <w:pPr>
      <w:numPr>
        <w:numId w:val="4"/>
      </w:numPr>
    </w:pPr>
  </w:style>
  <w:style w:type="paragraph" w:styleId="ListContinue2">
    <w:name w:val="List Continue 2"/>
    <w:basedOn w:val="List2"/>
    <w:rsid w:val="000C0E26"/>
    <w:pPr>
      <w:ind w:firstLine="0"/>
    </w:pPr>
  </w:style>
  <w:style w:type="paragraph" w:styleId="ListContinue3">
    <w:name w:val="List Continue 3"/>
    <w:basedOn w:val="List3"/>
    <w:rsid w:val="000C0E26"/>
    <w:pPr>
      <w:ind w:left="1021" w:firstLine="0"/>
    </w:pPr>
  </w:style>
  <w:style w:type="paragraph" w:styleId="ListContinue4">
    <w:name w:val="List Continue 4"/>
    <w:basedOn w:val="List4"/>
    <w:rsid w:val="000C0E26"/>
    <w:pPr>
      <w:ind w:firstLine="0"/>
    </w:pPr>
  </w:style>
  <w:style w:type="paragraph" w:styleId="ListContinue5">
    <w:name w:val="List Continue 5"/>
    <w:basedOn w:val="List5"/>
    <w:rsid w:val="000C0E26"/>
    <w:pPr>
      <w:ind w:firstLine="0"/>
    </w:pPr>
  </w:style>
  <w:style w:type="paragraph" w:styleId="ListNumber3">
    <w:name w:val="List Number 3"/>
    <w:basedOn w:val="List3"/>
    <w:rsid w:val="000C0E26"/>
    <w:pPr>
      <w:numPr>
        <w:numId w:val="5"/>
      </w:numPr>
    </w:pPr>
  </w:style>
  <w:style w:type="paragraph" w:styleId="ListNumber4">
    <w:name w:val="List Number 4"/>
    <w:basedOn w:val="List4"/>
    <w:rsid w:val="000C0E26"/>
    <w:pPr>
      <w:numPr>
        <w:numId w:val="6"/>
      </w:numPr>
    </w:pPr>
  </w:style>
  <w:style w:type="paragraph" w:styleId="ListNumber5">
    <w:name w:val="List Number 5"/>
    <w:basedOn w:val="List5"/>
    <w:rsid w:val="000C0E26"/>
    <w:pPr>
      <w:numPr>
        <w:numId w:val="7"/>
      </w:numPr>
    </w:pPr>
  </w:style>
  <w:style w:type="paragraph" w:styleId="BlockText">
    <w:name w:val="Block Text"/>
    <w:basedOn w:val="Normal"/>
    <w:rsid w:val="000C0E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0E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0E26"/>
    <w:rPr>
      <w:sz w:val="16"/>
      <w:vertAlign w:val="superscript"/>
    </w:rPr>
  </w:style>
  <w:style w:type="character" w:customStyle="1" w:styleId="Symbols">
    <w:name w:val="Symbols"/>
    <w:basedOn w:val="DefaultParagraphFont"/>
    <w:rsid w:val="000C0E26"/>
    <w:rPr>
      <w:rFonts w:ascii="Symbol" w:hAnsi="Symbol"/>
    </w:rPr>
  </w:style>
  <w:style w:type="character" w:customStyle="1" w:styleId="MenuOptions">
    <w:name w:val="Menu Options"/>
    <w:basedOn w:val="DefaultParagraphFont"/>
    <w:rsid w:val="000C0E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0E26"/>
    <w:rPr>
      <w:b/>
    </w:rPr>
  </w:style>
  <w:style w:type="character" w:customStyle="1" w:styleId="Underlined">
    <w:name w:val="Underlined"/>
    <w:basedOn w:val="DefaultParagraphFont"/>
    <w:rsid w:val="000C0E26"/>
    <w:rPr>
      <w:u w:val="single"/>
    </w:rPr>
  </w:style>
  <w:style w:type="paragraph" w:customStyle="1" w:styleId="TableBodyTextRight">
    <w:name w:val="Table Body Text Right"/>
    <w:basedOn w:val="TableBodyText"/>
    <w:rsid w:val="000C0E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0E26"/>
    <w:rPr>
      <w:sz w:val="18"/>
    </w:rPr>
  </w:style>
  <w:style w:type="paragraph" w:customStyle="1" w:styleId="BodySmallRight">
    <w:name w:val="Body Small Right"/>
    <w:basedOn w:val="BodyTextRight"/>
    <w:rsid w:val="000C0E26"/>
    <w:rPr>
      <w:sz w:val="18"/>
      <w:szCs w:val="18"/>
    </w:rPr>
  </w:style>
  <w:style w:type="paragraph" w:customStyle="1" w:styleId="MarginEdition">
    <w:name w:val="Margin Edition"/>
    <w:basedOn w:val="MarginNote"/>
    <w:rsid w:val="000C0E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0E26"/>
    <w:rPr>
      <w:sz w:val="2"/>
      <w:szCs w:val="2"/>
    </w:rPr>
  </w:style>
  <w:style w:type="character" w:customStyle="1" w:styleId="Small">
    <w:name w:val="Small"/>
    <w:basedOn w:val="DefaultParagraphFont"/>
    <w:rsid w:val="000C0E26"/>
    <w:rPr>
      <w:sz w:val="16"/>
    </w:rPr>
  </w:style>
  <w:style w:type="paragraph" w:customStyle="1" w:styleId="WideTable">
    <w:name w:val="Wide Table"/>
    <w:basedOn w:val="Normal"/>
    <w:rsid w:val="000C0E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0E26"/>
  </w:style>
  <w:style w:type="paragraph" w:styleId="Quote">
    <w:name w:val="Quote"/>
    <w:basedOn w:val="Heading1"/>
    <w:link w:val="QuoteChar"/>
    <w:qFormat/>
    <w:rsid w:val="000C0E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0E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0E26"/>
    <w:pPr>
      <w:pageBreakBefore/>
    </w:pPr>
  </w:style>
  <w:style w:type="paragraph" w:customStyle="1" w:styleId="Border">
    <w:name w:val="Border"/>
    <w:basedOn w:val="Normal"/>
    <w:qFormat/>
    <w:rsid w:val="000C0E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0E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0E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0E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0E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0E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0E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0E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0E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0E26"/>
    <w:rPr>
      <w:u w:val="single"/>
    </w:rPr>
  </w:style>
  <w:style w:type="character" w:customStyle="1" w:styleId="BoldandItalics">
    <w:name w:val="Bold and Italics"/>
    <w:qFormat/>
    <w:rsid w:val="000C0E26"/>
    <w:rPr>
      <w:b/>
      <w:i/>
      <w:u w:val="none"/>
    </w:rPr>
  </w:style>
  <w:style w:type="paragraph" w:styleId="BalloonText">
    <w:name w:val="Balloon Text"/>
    <w:basedOn w:val="Normal"/>
    <w:link w:val="BalloonTextChar"/>
    <w:rsid w:val="000C0E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0E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0E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0E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0E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0E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0E26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724</Words>
  <Characters>4795</Characters>
  <Application>Microsoft Office Word</Application>
  <DocSecurity>0</DocSecurity>
  <Lines>99</Lines>
  <Paragraphs>64</Paragraphs>
  <ScaleCrop>false</ScaleCrop>
  <Company>Author-it Software Corporation Ltd.</Company>
  <LinksUpToDate>false</LinksUpToDate>
  <CharactersWithSpaces>5514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MSL954001 Obtain representative samples in accordance with sampling plan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2018-02-01T00:13:00Z</dcterms:created>
  <dcterms:modified xsi:type="dcterms:W3CDTF">2018-02-01T00:13:00Z</dcterms:modified>
</cp:coreProperties>
</file>