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CCF" w:rsidP="009D2CCF">
      <w:pPr>
        <w:pStyle w:val="Title"/>
      </w:pPr>
      <w:r>
        <w:fldChar w:fldCharType="begin"/>
      </w:r>
      <w:r>
        <w:instrText xml:space="preserve"> TITLE   \* MERGEFORMAT </w:instrText>
      </w:r>
      <w:r>
        <w:fldChar w:fldCharType="separate"/>
      </w:r>
      <w:r>
        <w:t>MSL953001 Receive and prepare samples for testing</w:t>
      </w:r>
      <w:r>
        <w:fldChar w:fldCharType="end"/>
      </w:r>
    </w:p>
    <w:p w:rsidR="009D2CCF" w:rsidP="009D2CCF">
      <w:pPr>
        <w:pStyle w:val="Version"/>
        <w:sectPr w:rsidSect="00B93D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DCF" w:rsidP="00B93DCF">
      <w:pPr>
        <w:pStyle w:val="SuperHeading"/>
      </w:pPr>
      <w:r w:rsidRPr="00B93DCF">
        <w:t>MSL953001 Receive and prepare samples for testing</w:t>
      </w:r>
    </w:p>
    <w:p w:rsidR="00000000" w:rsidRPr="00B93DCF" w:rsidP="00B93DCF">
      <w:pPr>
        <w:pStyle w:val="Heading1"/>
      </w:pPr>
      <w:bookmarkStart w:id="1" w:name="O_902902"/>
      <w:bookmarkEnd w:id="1"/>
      <w:r w:rsidRPr="00B93DCF">
        <w:t>Modification History</w:t>
      </w:r>
    </w:p>
    <w:p w:rsidR="00000000" w:rsidRPr="00B93DCF" w:rsidP="00B93DCF">
      <w:pPr>
        <w:pStyle w:val="BodyText"/>
      </w:pPr>
      <w:r w:rsidRPr="00B93DCF">
        <w:t xml:space="preserve">Release 1. Supersedes and is equivalent to MSL953001A Receive and prepare samples for testing  </w:t>
      </w:r>
    </w:p>
    <w:p w:rsidR="00000000" w:rsidRPr="00B93DCF" w:rsidP="00B93DCF">
      <w:pPr>
        <w:pStyle w:val="AllowPageBreak"/>
      </w:pPr>
    </w:p>
    <w:p w:rsidR="00000000" w:rsidRPr="00B93DCF" w:rsidP="00B93DCF">
      <w:pPr>
        <w:pStyle w:val="Heading1"/>
      </w:pPr>
      <w:bookmarkStart w:id="2" w:name="O_902910"/>
      <w:bookmarkEnd w:id="2"/>
      <w:r w:rsidRPr="00B93DCF">
        <w:t>Application</w:t>
      </w:r>
    </w:p>
    <w:p w:rsidR="00000000" w:rsidRPr="00B93DCF" w:rsidP="00B93DCF">
      <w:pPr>
        <w:pStyle w:val="BodyText"/>
      </w:pPr>
      <w:r w:rsidRPr="00B93DCF">
        <w:t>This unit of competency covers the ability to log samples, check sample documentation, and schedule an</w:t>
      </w:r>
      <w:r w:rsidRPr="00B93DCF">
        <w:t>d prepare samples for testing in accordance with workplace procedures. This unit does not include testing, tissue processing or similar techniques.</w:t>
      </w:r>
    </w:p>
    <w:p w:rsidR="00000000" w:rsidRPr="00B93DCF" w:rsidP="00B93DCF">
      <w:pPr>
        <w:pStyle w:val="BodyText"/>
      </w:pPr>
    </w:p>
    <w:p w:rsidR="00000000" w:rsidRPr="00B93DCF" w:rsidP="00B93DCF">
      <w:pPr>
        <w:pStyle w:val="BodyText"/>
      </w:pPr>
      <w:r w:rsidRPr="00B93DCF">
        <w:t>This unit of competency is applicable to field and laboratory assistants in all industry sectors who receiv</w:t>
      </w:r>
      <w:r w:rsidRPr="00B93DCF">
        <w:t>e and prepare samples as part/all of their job in a sample reception area.</w:t>
      </w:r>
    </w:p>
    <w:p w:rsidR="00000000" w:rsidRPr="00B93DCF" w:rsidP="00B93DCF">
      <w:pPr>
        <w:pStyle w:val="BodyText"/>
      </w:pPr>
    </w:p>
    <w:p w:rsidR="00000000" w:rsidRPr="00B93DCF" w:rsidP="00B93DCF">
      <w:pPr>
        <w:pStyle w:val="BodyText"/>
      </w:pPr>
      <w:r w:rsidRPr="00B93DCF">
        <w:t>While no specific licensing or certification requirements apply to this unit at the time of publication, laboratory operations are governed by relevant legislation, regulations and</w:t>
      </w:r>
      <w:r w:rsidRPr="00B93DCF">
        <w:t>/or external accreditation requirements. Local requirements should be checked.</w:t>
      </w:r>
    </w:p>
    <w:p w:rsidR="00000000" w:rsidRPr="00B93DCF" w:rsidP="00B93DCF">
      <w:pPr>
        <w:pStyle w:val="AllowPageBreak"/>
      </w:pPr>
    </w:p>
    <w:p w:rsidR="00000000" w:rsidRPr="00B93DCF" w:rsidP="00B93DCF">
      <w:pPr>
        <w:pStyle w:val="Heading1"/>
      </w:pPr>
      <w:bookmarkStart w:id="3" w:name="O_902909"/>
      <w:bookmarkEnd w:id="3"/>
      <w:r w:rsidRPr="00B93DCF">
        <w:t>Pre-requisite Unit</w:t>
      </w:r>
    </w:p>
    <w:p w:rsidR="00000000" w:rsidRPr="00B93DCF" w:rsidP="00B93DCF">
      <w:pPr>
        <w:pStyle w:val="BodyText"/>
      </w:pPr>
      <w:r w:rsidRPr="00B93DCF">
        <w:t>Nil</w:t>
      </w:r>
    </w:p>
    <w:p w:rsidR="00000000" w:rsidRPr="00B93DCF" w:rsidP="00B93DCF">
      <w:pPr>
        <w:pStyle w:val="AllowPageBreak"/>
      </w:pPr>
    </w:p>
    <w:p w:rsidR="00000000" w:rsidRPr="00B93DCF" w:rsidP="00B93DCF">
      <w:pPr>
        <w:pStyle w:val="Heading1"/>
      </w:pPr>
      <w:bookmarkStart w:id="4" w:name="O_902908"/>
      <w:bookmarkEnd w:id="4"/>
      <w:r w:rsidRPr="00B93DCF">
        <w:t>Competency Field</w:t>
      </w:r>
    </w:p>
    <w:p w:rsidR="00000000" w:rsidRPr="00B93DCF" w:rsidP="00B93DCF">
      <w:pPr>
        <w:pStyle w:val="BodyText"/>
      </w:pPr>
      <w:r w:rsidRPr="00B93DCF">
        <w:t>Sampling</w:t>
      </w:r>
    </w:p>
    <w:p w:rsidR="00000000" w:rsidRPr="00B93DCF" w:rsidP="00B93DCF">
      <w:pPr>
        <w:pStyle w:val="AllowPageBreak"/>
      </w:pPr>
    </w:p>
    <w:p w:rsidR="00000000" w:rsidRPr="00B93DCF" w:rsidP="00B93DCF">
      <w:pPr>
        <w:pStyle w:val="Heading1"/>
      </w:pPr>
      <w:bookmarkStart w:id="5" w:name="O_902907"/>
      <w:bookmarkEnd w:id="5"/>
      <w:r w:rsidRPr="00B93DCF">
        <w:t>Unit Sector</w:t>
      </w:r>
    </w:p>
    <w:p w:rsidR="00000000" w:rsidRPr="00B93DCF" w:rsidP="00B93DCF">
      <w:pPr>
        <w:pStyle w:val="Heading1"/>
      </w:pPr>
      <w:bookmarkStart w:id="6" w:name="O_902906"/>
      <w:bookmarkEnd w:id="6"/>
      <w:r w:rsidRPr="00B93DC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93DC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Elements descri</w:t>
            </w:r>
            <w:r w:rsidRPr="00B93DCF">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Performance criteria describe the performance needed to demonstrate achievement of the element.</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3DCF" w:rsidP="00B93DCF">
            <w:pPr>
              <w:pStyle w:val="BodyText"/>
            </w:pPr>
            <w:r w:rsidRPr="00B93DCF">
              <w:t>1</w:t>
            </w:r>
          </w:p>
        </w:tc>
        <w:tc>
          <w:tcPr>
            <w:tcW w:w="1962" w:type="dxa"/>
            <w:vMerge w:val="restart"/>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rPr>
                <w:rStyle w:val="SpecialBold"/>
              </w:rPr>
              <w:t>Log samples</w:t>
            </w: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1.1</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Record date (and time of arrival, if required) of samples at workplace</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1.2</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Check and match samples with request forms before they are accepted</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1.3</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 xml:space="preserve">Enter samples into the laboratory information </w:t>
            </w:r>
            <w:r w:rsidRPr="00B93DCF">
              <w:t>management system (LIMS)</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1.4</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Apply required document tracking procedures</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1.5</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Process 'urgent' test requests according to workplace requirements</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1.6</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Ensure security and traceability of all information, laboratory data and records</w:t>
            </w:r>
          </w:p>
        </w:tc>
      </w:tr>
      <w:tr w:rsidTr="00B93D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3DCF">
            <w:pPr>
              <w:pStyle w:val="BodyText"/>
              <w:rPr>
                <w:lang w:val="en-NZ"/>
              </w:rPr>
            </w:pP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3DCF" w:rsidP="00B93DCF">
            <w:pPr>
              <w:pStyle w:val="BodyText"/>
            </w:pPr>
            <w:r w:rsidRPr="00B93DCF">
              <w:t>2</w:t>
            </w:r>
          </w:p>
        </w:tc>
        <w:tc>
          <w:tcPr>
            <w:tcW w:w="1962" w:type="dxa"/>
            <w:vMerge w:val="restart"/>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rPr>
                <w:rStyle w:val="SpecialBold"/>
              </w:rPr>
              <w:t>Address client and customer service issues</w:t>
            </w: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2.1</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Report to referring client when samples and request forms do not comply with workplace requirements</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2.2</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Refer to supervisor for instruction where 'return to source' is inappropriate or not possible</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2.3</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Maintain confidentialit</w:t>
            </w:r>
            <w:r w:rsidRPr="00B93DCF">
              <w:t>y of all client/workplace data and information</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2.4</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Ensure that information provided to customers is accurate, relevant and authorised for release</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2.5</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Deal with customers politely and efficiently and in accordance with workplace procedures</w:t>
            </w:r>
          </w:p>
        </w:tc>
      </w:tr>
      <w:tr w:rsidTr="00B93D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3DCF">
            <w:pPr>
              <w:pStyle w:val="BodyText"/>
              <w:rPr>
                <w:lang w:val="en-NZ"/>
              </w:rPr>
            </w:pP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3DCF" w:rsidP="00B93DCF">
            <w:pPr>
              <w:pStyle w:val="BodyText"/>
            </w:pPr>
            <w:r w:rsidRPr="00B93DCF">
              <w:t>3</w:t>
            </w:r>
          </w:p>
        </w:tc>
        <w:tc>
          <w:tcPr>
            <w:tcW w:w="1962" w:type="dxa"/>
            <w:vMerge w:val="restart"/>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rPr>
                <w:rStyle w:val="SpecialBold"/>
              </w:rPr>
              <w:t>Prepare samples for testing</w:t>
            </w: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3.1</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Perform physical separation of the samples, as required</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3.2</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Prepare the required number of sub-samples</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3.3</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Perform chemical separation of the samples, as required</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3.4</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Place samples in appropriate transport media, if appropriate</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3.5</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Monitor and control sample conditions before, during and after processing</w:t>
            </w:r>
          </w:p>
        </w:tc>
      </w:tr>
      <w:tr w:rsidTr="00B93D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3DCF">
            <w:pPr>
              <w:pStyle w:val="BodyText"/>
              <w:rPr>
                <w:lang w:val="en-NZ"/>
              </w:rPr>
            </w:pP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3DCF" w:rsidP="00B93DCF">
            <w:pPr>
              <w:pStyle w:val="BodyText"/>
            </w:pPr>
            <w:r w:rsidRPr="00B93DCF">
              <w:t>4</w:t>
            </w:r>
          </w:p>
        </w:tc>
        <w:tc>
          <w:tcPr>
            <w:tcW w:w="1962" w:type="dxa"/>
            <w:vMerge w:val="restart"/>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rPr>
                <w:rStyle w:val="SpecialBold"/>
              </w:rPr>
              <w:t>Distribute samples</w:t>
            </w: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4.1</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Group samples requiring similar testing requirements</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4.2</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Distribute samples to workstations maintaining sample integrity</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4.3</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Distribute request forms for data entry or filing in accordance with workplace procedures</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4.4</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Check that samples and relevant request forms have been received by laboratory personnel</w:t>
            </w:r>
          </w:p>
        </w:tc>
      </w:tr>
      <w:tr w:rsidTr="00B93D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3DCF">
            <w:pPr>
              <w:pStyle w:val="BodyText"/>
              <w:rPr>
                <w:lang w:val="en-NZ"/>
              </w:rPr>
            </w:pP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3DCF" w:rsidP="00B93DCF">
            <w:pPr>
              <w:pStyle w:val="BodyText"/>
            </w:pPr>
            <w:r w:rsidRPr="00B93DCF">
              <w:t>5</w:t>
            </w:r>
          </w:p>
        </w:tc>
        <w:tc>
          <w:tcPr>
            <w:tcW w:w="1962" w:type="dxa"/>
            <w:vMerge w:val="restart"/>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rPr>
                <w:rStyle w:val="SpecialBold"/>
              </w:rPr>
              <w:t>Maintain a safe work area and environment</w:t>
            </w: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5.1</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Apply safe work practices to ensure personal safety and that of other laboratory personnel</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5.2</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Use appropriate personal protective equipment (PPE) to ensure personal safety when sampling, processing, transferring or disposing of samples</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5.3</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Report all accidents and spillages to supervisor</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5.4</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Clean up splashes and spillages immediately using appropriate techniques and precautions</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5.5</w:t>
            </w:r>
          </w:p>
        </w:tc>
        <w:tc>
          <w:tcPr>
            <w:tcW w:w="561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Minimise the generation of wastes and environmental impacts</w:t>
            </w:r>
          </w:p>
        </w:tc>
      </w:tr>
      <w:tr w:rsidTr="00B93D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5.6</w:t>
            </w:r>
          </w:p>
        </w:tc>
        <w:tc>
          <w:tcPr>
            <w:tcW w:w="5610" w:type="dxa"/>
            <w:tcBorders>
              <w:top w:val="nil"/>
              <w:left w:val="nil"/>
              <w:bottom w:val="nil"/>
              <w:right w:val="nil"/>
            </w:tcBorders>
            <w:tcMar>
              <w:top w:w="0" w:type="dxa"/>
              <w:left w:w="62" w:type="dxa"/>
              <w:bottom w:w="0" w:type="dxa"/>
              <w:right w:w="62" w:type="dxa"/>
            </w:tcMar>
          </w:tcPr>
          <w:p w:rsidR="00000000" w:rsidRPr="00B93DCF" w:rsidP="00B93DCF">
            <w:pPr>
              <w:pStyle w:val="BodyText"/>
            </w:pPr>
            <w:r w:rsidRPr="00B93DCF">
              <w:t>Ensure the safe disposal of hazardous materials and other laboratory wastes</w:t>
            </w:r>
          </w:p>
        </w:tc>
      </w:tr>
    </w:tbl>
    <w:p w:rsidR="00000000" w:rsidRPr="00B93DCF" w:rsidP="00B93DCF">
      <w:pPr>
        <w:pStyle w:val="BodyText"/>
      </w:pPr>
    </w:p>
    <w:p w:rsidR="00000000" w:rsidRPr="00B93DCF" w:rsidP="00B93DCF">
      <w:pPr>
        <w:pStyle w:val="AllowPageBreak"/>
      </w:pPr>
    </w:p>
    <w:p w:rsidR="00000000" w:rsidRPr="00B93DCF" w:rsidP="00B93DCF">
      <w:pPr>
        <w:pStyle w:val="Heading1"/>
      </w:pPr>
      <w:bookmarkStart w:id="7" w:name="O_902905"/>
      <w:bookmarkEnd w:id="7"/>
      <w:r w:rsidRPr="00B93DCF">
        <w:t>Foundation Skills</w:t>
      </w:r>
    </w:p>
    <w:p w:rsidR="00000000" w:rsidRPr="00B93DCF" w:rsidP="00B93DCF">
      <w:pPr>
        <w:pStyle w:val="BodyText"/>
      </w:pPr>
      <w:r w:rsidRPr="00B93DCF">
        <w:t>This section describes those language, literacy, numeracy and employment skills that are essential to performance.</w:t>
      </w:r>
    </w:p>
    <w:p w:rsidR="00000000" w:rsidRPr="00B93DCF" w:rsidP="00B93DCF">
      <w:pPr>
        <w:pStyle w:val="BodyText"/>
      </w:pPr>
    </w:p>
    <w:p w:rsidR="00000000" w:rsidRPr="00B93DCF" w:rsidP="00B93DCF">
      <w:pPr>
        <w:pStyle w:val="BodyText"/>
      </w:pPr>
      <w:r w:rsidRPr="00B93DCF">
        <w:t>Foundation skills essential to performance are explicit in the performance criteria of this unit of competency.</w:t>
      </w:r>
    </w:p>
    <w:p w:rsidR="00000000" w:rsidRPr="00B93DCF" w:rsidP="00B93DCF">
      <w:pPr>
        <w:pStyle w:val="AllowPageBreak"/>
      </w:pPr>
    </w:p>
    <w:p w:rsidR="00000000" w:rsidRPr="00B93DCF" w:rsidP="00B93DCF">
      <w:pPr>
        <w:pStyle w:val="Heading1"/>
      </w:pPr>
      <w:bookmarkStart w:id="8" w:name="O_902904"/>
      <w:bookmarkEnd w:id="8"/>
      <w:r w:rsidRPr="00B93DCF">
        <w:t>Range of Conditions</w:t>
      </w:r>
    </w:p>
    <w:tbl>
      <w:tblPr>
        <w:tblW w:w="0" w:type="auto"/>
        <w:tblCellMar>
          <w:left w:w="62" w:type="dxa"/>
          <w:right w:w="62" w:type="dxa"/>
        </w:tblCellMar>
        <w:tblLook w:val="0000"/>
      </w:tblPr>
      <w:tblGrid>
        <w:gridCol w:w="2163"/>
        <w:gridCol w:w="7033"/>
      </w:tblGrid>
      <w:tr w:rsidTr="009D2C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t>This field allows for different work environments and conditions that may affect performance. Essential operating conditions that may be present (depending on the work situation, needs of the candidate, accessibility of the ite</w:t>
            </w:r>
            <w:r w:rsidRPr="00B93DCF">
              <w:t>m, and local industry and regional contexts) are included.</w:t>
            </w:r>
          </w:p>
        </w:tc>
      </w:tr>
      <w:tr w:rsidTr="009D2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B93DCF" w:rsidP="00B93DCF">
            <w:pPr>
              <w:pStyle w:val="BodyText"/>
            </w:pPr>
            <w:r w:rsidRPr="00B93DCF">
              <w:t>Standards, codes, procedures and/or workplace requirements include the latest version of one or more of:</w:t>
            </w:r>
          </w:p>
          <w:p w:rsidR="00000000" w:rsidRPr="00B93DCF" w:rsidP="00B93DCF">
            <w:pPr>
              <w:pStyle w:val="ListBullet"/>
            </w:pPr>
            <w:r w:rsidRPr="00B93DCF">
              <w:t>Australian and international standards covering the requirements for the competence of testing and calibration laboratories; laboratory safety; quality and environmental management; and labelling, storage, transport and disposal of hazardous materials</w:t>
            </w:r>
          </w:p>
          <w:p w:rsidR="00000000" w:rsidRPr="00B93DCF" w:rsidP="00B93DCF">
            <w:pPr>
              <w:pStyle w:val="ListBullet"/>
            </w:pPr>
            <w:r w:rsidRPr="00B93DCF">
              <w:t>nati</w:t>
            </w:r>
            <w:r w:rsidRPr="00B93DCF">
              <w:t>onal work health and safety (WHS) standards and codes of practice, and national environmental protection measures</w:t>
            </w:r>
          </w:p>
          <w:p w:rsidR="00000000" w:rsidRPr="00B93DCF" w:rsidP="00B93DCF">
            <w:pPr>
              <w:pStyle w:val="ListBullet"/>
            </w:pPr>
            <w:r w:rsidRPr="00B93DCF">
              <w:t>specific codes, guidelines and procedures, such as Australian Dangerous Goods Code, Australia Post Guides, International Air Transport Associa</w:t>
            </w:r>
            <w:r w:rsidRPr="00B93DCF">
              <w:t>tion (IATA) Regulations, and Australian Radiation Protection and Nuclear Safety Agency (ARPANSA) Codes of Practice</w:t>
            </w:r>
          </w:p>
          <w:p w:rsidR="00000000" w:rsidRPr="00B93DCF" w:rsidP="00B93DCF">
            <w:pPr>
              <w:pStyle w:val="ListBullet"/>
            </w:pPr>
            <w:r w:rsidRPr="00B93DCF">
              <w:t>workplace documents, such as standard operating procedures (SOPs); material safety data sheets (MSDS); safety procedures for specific materia</w:t>
            </w:r>
            <w:r w:rsidRPr="00B93DCF">
              <w:t>ls and equipment; incident/accident report forms; material, production and product specifications; production and laboratory schedules; workplace recording and reporting procedures; spillage and waste containment and disposal protocols; and customer servic</w:t>
            </w:r>
            <w:r w:rsidRPr="00B93DCF">
              <w:t>e standards</w:t>
            </w:r>
          </w:p>
          <w:p w:rsidR="00000000" w:rsidRPr="00B93DCF" w:rsidP="00B93DCF">
            <w:pPr>
              <w:pStyle w:val="ListBullet"/>
            </w:pPr>
            <w:r w:rsidRPr="00B93DCF">
              <w:t>procedure sheets indicating how samples and sub-samples are to be labelled, prepared, processed, distributed, flagged for urgent testing or for other non-routine requirements, including referral to external laboratories, transport and storage r</w:t>
            </w:r>
            <w:r w:rsidRPr="00B93DCF">
              <w:t>equirements</w:t>
            </w:r>
          </w:p>
          <w:p w:rsidR="00000000" w:rsidP="00B93DCF">
            <w:pPr>
              <w:pStyle w:val="BodyText"/>
              <w:rPr>
                <w:lang w:val="en-NZ"/>
              </w:rPr>
            </w:pPr>
          </w:p>
        </w:tc>
      </w:tr>
      <w:tr w:rsidTr="009D2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rPr>
                <w:rStyle w:val="SpecialBold"/>
              </w:rPr>
              <w:t xml:space="preserve">Samples received </w:t>
            </w:r>
          </w:p>
        </w:tc>
        <w:tc>
          <w:tcPr>
            <w:tcW w:w="0" w:type="auto"/>
            <w:tcBorders>
              <w:top w:val="nil"/>
              <w:left w:val="nil"/>
              <w:bottom w:val="nil"/>
              <w:right w:val="nil"/>
            </w:tcBorders>
            <w:tcMar>
              <w:top w:w="0" w:type="dxa"/>
              <w:left w:w="62" w:type="dxa"/>
              <w:bottom w:w="0" w:type="dxa"/>
              <w:right w:w="62" w:type="dxa"/>
            </w:tcMar>
          </w:tcPr>
          <w:p w:rsidR="00000000" w:rsidRPr="00B93DCF" w:rsidP="00B93DCF">
            <w:pPr>
              <w:pStyle w:val="BodyText"/>
            </w:pPr>
            <w:r w:rsidRPr="00B93DCF">
              <w:t>Samples received include, but are not limited to, one or more of:</w:t>
            </w:r>
          </w:p>
          <w:p w:rsidR="00000000" w:rsidRPr="00B93DCF" w:rsidP="00B93DCF">
            <w:pPr>
              <w:pStyle w:val="ListBullet"/>
            </w:pPr>
            <w:r w:rsidRPr="00B93DCF">
              <w:t>gas or air samples</w:t>
            </w:r>
          </w:p>
          <w:p w:rsidR="00000000" w:rsidRPr="00B93DCF" w:rsidP="00B93DCF">
            <w:pPr>
              <w:pStyle w:val="ListBullet"/>
            </w:pPr>
            <w:r w:rsidRPr="00B93DCF">
              <w:t>liquid samples, such as water and wastewater, stormwater, sludges, and complex mixtures and sewage</w:t>
            </w:r>
          </w:p>
          <w:p w:rsidR="00000000" w:rsidRPr="00B93DCF" w:rsidP="00B93DCF">
            <w:pPr>
              <w:pStyle w:val="ListBullet"/>
            </w:pPr>
            <w:r w:rsidRPr="00B93DCF">
              <w:t>solid samples, such as soils and sediments, rocks/minerals, concrete, quarry or mining products</w:t>
            </w:r>
          </w:p>
          <w:p w:rsidR="00000000" w:rsidRPr="00B93DCF" w:rsidP="00B93DCF">
            <w:pPr>
              <w:pStyle w:val="ListBullet"/>
            </w:pPr>
            <w:r w:rsidRPr="00B93DCF">
              <w:t>solid wastes, such as hazardous, non-hazardous, domestic, commercial, industrial, mining and agricultural</w:t>
            </w:r>
          </w:p>
          <w:p w:rsidR="00000000" w:rsidRPr="00B93DCF" w:rsidP="00B93DCF">
            <w:pPr>
              <w:pStyle w:val="ListBullet"/>
            </w:pPr>
            <w:r w:rsidRPr="00B93DCF">
              <w:t>biological specimens, such as tissue and blood</w:t>
            </w:r>
          </w:p>
          <w:p w:rsidR="00000000" w:rsidRPr="00B93DCF" w:rsidP="00B93DCF">
            <w:pPr>
              <w:pStyle w:val="ListBullet"/>
            </w:pPr>
            <w:r w:rsidRPr="00B93DCF">
              <w:t>raw mat</w:t>
            </w:r>
            <w:r w:rsidRPr="00B93DCF">
              <w:t>erials, start, middle, end of production run samples and final products</w:t>
            </w:r>
          </w:p>
          <w:p w:rsidR="00000000" w:rsidP="00B93DCF">
            <w:pPr>
              <w:pStyle w:val="BodyText"/>
              <w:rPr>
                <w:lang w:val="en-NZ"/>
              </w:rPr>
            </w:pPr>
          </w:p>
        </w:tc>
      </w:tr>
      <w:tr w:rsidTr="009D2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rPr>
                <w:rStyle w:val="SpecialBold"/>
              </w:rPr>
              <w:t xml:space="preserve">Safe work practices </w:t>
            </w:r>
          </w:p>
        </w:tc>
        <w:tc>
          <w:tcPr>
            <w:tcW w:w="0" w:type="auto"/>
            <w:tcBorders>
              <w:top w:val="nil"/>
              <w:left w:val="nil"/>
              <w:bottom w:val="nil"/>
              <w:right w:val="nil"/>
            </w:tcBorders>
            <w:tcMar>
              <w:top w:w="0" w:type="dxa"/>
              <w:left w:w="62" w:type="dxa"/>
              <w:bottom w:w="0" w:type="dxa"/>
              <w:right w:w="62" w:type="dxa"/>
            </w:tcMar>
          </w:tcPr>
          <w:p w:rsidR="00000000" w:rsidRPr="00B93DCF" w:rsidP="00B93DCF">
            <w:pPr>
              <w:pStyle w:val="BodyText"/>
            </w:pPr>
            <w:r w:rsidRPr="00B93DCF">
              <w:t>Safe work practices include, but are not limited to, one or more of:</w:t>
            </w:r>
          </w:p>
          <w:p w:rsidR="00000000" w:rsidRPr="00B93DCF" w:rsidP="00B93DCF">
            <w:pPr>
              <w:pStyle w:val="ListBullet"/>
            </w:pPr>
            <w:r w:rsidRPr="00B93DCF">
              <w:t>using MSDS and standard precautions when dealing with potentially hazardous materials</w:t>
            </w:r>
          </w:p>
          <w:p w:rsidR="00000000" w:rsidRPr="00B93DCF" w:rsidP="00B93DCF">
            <w:pPr>
              <w:pStyle w:val="ListBullet"/>
            </w:pPr>
            <w:r w:rsidRPr="00B93DCF">
              <w:t>handl</w:t>
            </w:r>
            <w:r w:rsidRPr="00B93DCF">
              <w:t>ing, and storing hazardous materials and equipment in accordance with labels, MSDS, manufacturer instructions, and workplace procedures and regulations</w:t>
            </w:r>
          </w:p>
          <w:p w:rsidR="00000000" w:rsidRPr="00B93DCF" w:rsidP="00B93DCF">
            <w:pPr>
              <w:pStyle w:val="ListBullet"/>
            </w:pPr>
            <w:r w:rsidRPr="00B93DCF">
              <w:t>using biohazard containers and laminar flow cabinets</w:t>
            </w:r>
          </w:p>
          <w:p w:rsidR="00000000" w:rsidRPr="00B93DCF" w:rsidP="00B93DCF">
            <w:pPr>
              <w:pStyle w:val="ListBullet"/>
            </w:pPr>
            <w:r w:rsidRPr="00B93DCF">
              <w:t>labelling of reagents and hazardous materials corre</w:t>
            </w:r>
            <w:r w:rsidRPr="00B93DCF">
              <w:t>ctly</w:t>
            </w:r>
          </w:p>
          <w:p w:rsidR="00000000" w:rsidRPr="00B93DCF" w:rsidP="00B93DCF">
            <w:pPr>
              <w:pStyle w:val="ListBullet"/>
            </w:pPr>
            <w:r w:rsidRPr="00B93DCF">
              <w:t>regularly cleaning and/or decontaminating equipment and work areas</w:t>
            </w:r>
          </w:p>
          <w:p w:rsidR="00000000" w:rsidRPr="00B93DCF" w:rsidP="00B93DCF">
            <w:pPr>
              <w:pStyle w:val="ListBullet"/>
            </w:pPr>
            <w:r w:rsidRPr="00B93DCF">
              <w:t>using PPE, such as hard hats, hearing protection, gloves, safety glasses, goggles, face guards, coveralls, gowns, body suits, respirators and safety boots</w:t>
            </w:r>
          </w:p>
          <w:p w:rsidR="00000000" w:rsidP="00B93DCF">
            <w:pPr>
              <w:pStyle w:val="BodyText"/>
              <w:rPr>
                <w:lang w:val="en-NZ"/>
              </w:rPr>
            </w:pPr>
          </w:p>
        </w:tc>
      </w:tr>
      <w:tr w:rsidTr="009D2C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DCF">
            <w:pPr>
              <w:pStyle w:val="BodyText"/>
              <w:rPr>
                <w:lang w:val="en-NZ"/>
              </w:rPr>
            </w:pPr>
            <w:r w:rsidRPr="00B93DCF">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B93DCF" w:rsidP="00B93DCF">
            <w:pPr>
              <w:pStyle w:val="BodyText"/>
            </w:pPr>
            <w:r w:rsidRPr="00B93DCF">
              <w:t>WHS and environmental management requirements include:</w:t>
            </w:r>
          </w:p>
          <w:p w:rsidR="00000000" w:rsidRPr="00B93DCF" w:rsidP="00B93DCF">
            <w:pPr>
              <w:pStyle w:val="BodyText"/>
            </w:pPr>
            <w:r w:rsidRPr="00B93DCF">
              <w:rPr>
                <w:rStyle w:val="Symbols"/>
              </w:rPr>
              <w:t></w:t>
            </w:r>
            <w:r w:rsidRPr="00B93DCF">
              <w:rPr>
                <w:rStyle w:val="Symbols"/>
              </w:rPr>
              <w:tab/>
            </w:r>
            <w:r w:rsidRPr="00B93DCF">
              <w:t>complying with WHS and environmental management requirements at all times, which may be imp</w:t>
            </w:r>
            <w:r w:rsidRPr="00B93DCF">
              <w:t>osed through state/territory or federal legislation. These requirements must not be compromised at any time</w:t>
            </w:r>
          </w:p>
          <w:p w:rsidR="00000000" w:rsidRPr="00B93DCF" w:rsidP="00B93DCF">
            <w:pPr>
              <w:pStyle w:val="BodyText"/>
            </w:pPr>
            <w:r w:rsidRPr="00B93DCF">
              <w:rPr>
                <w:rStyle w:val="Symbols"/>
              </w:rPr>
              <w:t></w:t>
            </w:r>
            <w:r w:rsidRPr="00B93DCF">
              <w:rPr>
                <w:rStyle w:val="Symbols"/>
              </w:rPr>
              <w:tab/>
            </w:r>
            <w:r w:rsidRPr="00B93DCF">
              <w:t>applying standard precautions relating to the potentially hazardous nature of samples</w:t>
            </w:r>
          </w:p>
          <w:p w:rsidR="00000000" w:rsidRPr="00B93DCF" w:rsidP="00B93DCF">
            <w:pPr>
              <w:pStyle w:val="ListBullet"/>
            </w:pPr>
            <w:r w:rsidRPr="00B93DCF">
              <w:t>accessing and applying current industry understanding of in</w:t>
            </w:r>
            <w:r w:rsidRPr="00B93DCF">
              <w:t>fection control issued by the National Health and Medical Research Council (NHMRC) and State and Territory Departments of Health, where relevant</w:t>
            </w:r>
          </w:p>
        </w:tc>
      </w:tr>
    </w:tbl>
    <w:p w:rsidR="00000000" w:rsidRPr="00B93DCF" w:rsidP="00B93DCF">
      <w:pPr>
        <w:pStyle w:val="BodyText"/>
      </w:pPr>
    </w:p>
    <w:p w:rsidR="00000000" w:rsidRPr="00B93DCF" w:rsidP="00B93DCF">
      <w:pPr>
        <w:pStyle w:val="AllowPageBreak"/>
      </w:pPr>
    </w:p>
    <w:p w:rsidR="00000000" w:rsidRPr="00B93DCF" w:rsidP="00B93DCF">
      <w:pPr>
        <w:pStyle w:val="Heading1"/>
      </w:pPr>
      <w:bookmarkStart w:id="9" w:name="O_902903"/>
      <w:bookmarkEnd w:id="9"/>
      <w:r w:rsidRPr="00B93DCF">
        <w:t>Unit Mapping Information</w:t>
      </w:r>
    </w:p>
    <w:p w:rsidR="00000000" w:rsidRPr="00B93DCF" w:rsidP="00B93DCF">
      <w:pPr>
        <w:pStyle w:val="BodyText"/>
      </w:pPr>
      <w:r w:rsidRPr="00B93DCF">
        <w:t>Release 1. Supersedes and is equivalent to MSL953001A Receive and p</w:t>
      </w:r>
      <w:r w:rsidRPr="00B93DCF">
        <w:t xml:space="preserve">repare samples for testing  </w:t>
      </w:r>
    </w:p>
    <w:p w:rsidR="00000000" w:rsidRPr="00B93DCF" w:rsidP="00B93DCF">
      <w:pPr>
        <w:pStyle w:val="AllowPageBreak"/>
      </w:pPr>
    </w:p>
    <w:p w:rsidR="00000000" w:rsidRPr="00B93DCF" w:rsidP="00B93DCF">
      <w:pPr>
        <w:pStyle w:val="Heading1"/>
      </w:pPr>
      <w:bookmarkStart w:id="10" w:name="O_902896"/>
      <w:bookmarkEnd w:id="10"/>
      <w:r w:rsidRPr="00B93DCF">
        <w:t>Links</w:t>
      </w:r>
    </w:p>
    <w:p w:rsidR="00000000" w:rsidRPr="00B93DCF" w:rsidP="00B93DCF">
      <w:pPr>
        <w:pStyle w:val="BodyText"/>
      </w:pPr>
      <w:r w:rsidRPr="00B93DCF">
        <w:t>Companion Volume implementation guides are found in VETNet - https://vetnet.education.gov.au/Pages/TrainingDocs.aspx?q=5c63a03b-4a6b-4ae5-9560-1e3c5f462baa</w:t>
      </w:r>
    </w:p>
    <w:p w:rsidR="00000000" w:rsidRPr="00B93DCF" w:rsidP="00B93DCF"/>
    <w:sectPr w:rsidSect="00B93D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CF" w:rsidRPr="009D2CCF" w:rsidP="009D2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CCF" w:rsidP="00B93D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D2CCF" w:rsidP="00B93DC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2CCF" w:rsidP="00B93D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C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DCF" w:rsidRPr="009D2CCF" w:rsidP="009D2C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D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CCF" w:rsidRPr="002D2AF8" w:rsidP="00B93DCF">
    <w:pPr>
      <w:pStyle w:val="Header"/>
      <w:framePr w:wrap="around"/>
    </w:pPr>
    <w:r>
      <w:fldChar w:fldCharType="begin"/>
    </w:r>
    <w:r>
      <w:instrText xml:space="preserve"> TITLE   \* MERGEFORMAT </w:instrText>
    </w:r>
    <w:r>
      <w:fldChar w:fldCharType="separate"/>
    </w:r>
    <w:r>
      <w:t>MSL953001 Receive and prepare samples for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9D2CCF" w:rsidP="00B93D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F476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0039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D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DCF"/>
    <w:pPr>
      <w:spacing w:before="360" w:after="60"/>
      <w:outlineLvl w:val="0"/>
    </w:pPr>
    <w:rPr>
      <w:sz w:val="32"/>
    </w:rPr>
  </w:style>
  <w:style w:type="paragraph" w:styleId="Heading2">
    <w:name w:val="heading 2"/>
    <w:basedOn w:val="HeadingBase"/>
    <w:next w:val="BodyText"/>
    <w:link w:val="Heading2Char"/>
    <w:qFormat/>
    <w:rsid w:val="00B93DCF"/>
    <w:pPr>
      <w:keepLines/>
      <w:spacing w:before="240" w:after="120"/>
      <w:outlineLvl w:val="1"/>
    </w:pPr>
    <w:rPr>
      <w:sz w:val="28"/>
      <w:szCs w:val="40"/>
    </w:rPr>
  </w:style>
  <w:style w:type="paragraph" w:styleId="Heading3">
    <w:name w:val="heading 3"/>
    <w:basedOn w:val="HeadingBase"/>
    <w:next w:val="BodyText"/>
    <w:link w:val="Heading3Char"/>
    <w:qFormat/>
    <w:rsid w:val="00B93DCF"/>
    <w:pPr>
      <w:spacing w:before="180" w:after="120"/>
      <w:outlineLvl w:val="2"/>
    </w:pPr>
    <w:rPr>
      <w:spacing w:val="-10"/>
      <w:kern w:val="32"/>
    </w:rPr>
  </w:style>
  <w:style w:type="paragraph" w:styleId="Heading4">
    <w:name w:val="heading 4"/>
    <w:basedOn w:val="HeadingBase"/>
    <w:next w:val="BodyText"/>
    <w:link w:val="Heading4Char"/>
    <w:qFormat/>
    <w:rsid w:val="00B93DCF"/>
    <w:pPr>
      <w:spacing w:before="160" w:after="120"/>
      <w:outlineLvl w:val="3"/>
    </w:pPr>
    <w:rPr>
      <w:sz w:val="22"/>
    </w:rPr>
  </w:style>
  <w:style w:type="paragraph" w:styleId="Heading5">
    <w:name w:val="heading 5"/>
    <w:basedOn w:val="HeadingBase"/>
    <w:next w:val="Normal"/>
    <w:link w:val="Heading5Char"/>
    <w:qFormat/>
    <w:rsid w:val="00B93DCF"/>
    <w:pPr>
      <w:spacing w:before="80"/>
      <w:outlineLvl w:val="4"/>
    </w:pPr>
    <w:rPr>
      <w:color w:val="918585"/>
      <w:sz w:val="20"/>
    </w:rPr>
  </w:style>
  <w:style w:type="paragraph" w:styleId="Heading6">
    <w:name w:val="heading 6"/>
    <w:basedOn w:val="HeadingBase"/>
    <w:next w:val="Normal"/>
    <w:link w:val="Heading6Char"/>
    <w:qFormat/>
    <w:rsid w:val="00B93DCF"/>
    <w:pPr>
      <w:spacing w:before="60"/>
      <w:outlineLvl w:val="5"/>
    </w:pPr>
    <w:rPr>
      <w:color w:val="918585"/>
      <w:sz w:val="20"/>
    </w:rPr>
  </w:style>
  <w:style w:type="paragraph" w:styleId="Heading7">
    <w:name w:val="heading 7"/>
    <w:basedOn w:val="Normal"/>
    <w:next w:val="Normal"/>
    <w:link w:val="Heading7Char"/>
    <w:qFormat/>
    <w:rsid w:val="00B93DCF"/>
    <w:pPr>
      <w:ind w:left="720"/>
      <w:outlineLvl w:val="6"/>
    </w:pPr>
    <w:rPr>
      <w:i/>
    </w:rPr>
  </w:style>
  <w:style w:type="paragraph" w:styleId="Heading8">
    <w:name w:val="heading 8"/>
    <w:basedOn w:val="Normal"/>
    <w:next w:val="Normal"/>
    <w:link w:val="Heading8Char"/>
    <w:qFormat/>
    <w:rsid w:val="00B93DCF"/>
    <w:pPr>
      <w:ind w:left="720"/>
      <w:outlineLvl w:val="7"/>
    </w:pPr>
    <w:rPr>
      <w:i/>
    </w:rPr>
  </w:style>
  <w:style w:type="paragraph" w:styleId="Heading9">
    <w:name w:val="heading 9"/>
    <w:basedOn w:val="Normal"/>
    <w:next w:val="Normal"/>
    <w:link w:val="Heading9Char"/>
    <w:qFormat/>
    <w:rsid w:val="00B93DCF"/>
    <w:pPr>
      <w:ind w:left="720"/>
      <w:outlineLvl w:val="8"/>
    </w:pPr>
    <w:rPr>
      <w:i/>
    </w:rPr>
  </w:style>
  <w:style w:type="character" w:default="1" w:styleId="DefaultParagraphFont">
    <w:name w:val="Default Paragraph Font"/>
    <w:uiPriority w:val="1"/>
    <w:unhideWhenUsed/>
    <w:rsid w:val="00B93D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DCF"/>
  </w:style>
  <w:style w:type="character" w:customStyle="1" w:styleId="Heading1Char">
    <w:name w:val="Heading 1 Char"/>
    <w:basedOn w:val="DefaultParagraphFont"/>
    <w:link w:val="Heading1"/>
    <w:rsid w:val="00B93DCF"/>
    <w:rPr>
      <w:rFonts w:ascii="Times New Roman" w:eastAsia="Times New Roman" w:hAnsi="Times New Roman" w:cs="Times New Roman"/>
      <w:b/>
      <w:sz w:val="32"/>
      <w:szCs w:val="20"/>
      <w:lang w:eastAsia="en-US"/>
    </w:rPr>
  </w:style>
  <w:style w:type="paragraph" w:styleId="BodyText">
    <w:name w:val="Body Text"/>
    <w:basedOn w:val="Normal"/>
    <w:link w:val="BodyTextChar"/>
    <w:rsid w:val="00B93D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DCF"/>
    <w:rPr>
      <w:rFonts w:ascii="Times New Roman" w:eastAsia="Times New Roman" w:hAnsi="Times New Roman" w:cs="Times New Roman"/>
      <w:sz w:val="24"/>
      <w:lang w:eastAsia="en-US"/>
    </w:rPr>
  </w:style>
  <w:style w:type="paragraph" w:styleId="ListBullet">
    <w:name w:val="List Bullet"/>
    <w:basedOn w:val="List"/>
    <w:rsid w:val="00B93DCF"/>
    <w:pPr>
      <w:numPr>
        <w:numId w:val="12"/>
      </w:numPr>
      <w:tabs>
        <w:tab w:val="clear" w:pos="340"/>
      </w:tabs>
      <w:spacing w:before="40" w:after="40"/>
    </w:pPr>
  </w:style>
  <w:style w:type="character" w:customStyle="1" w:styleId="SpecialBold">
    <w:name w:val="Special Bold"/>
    <w:basedOn w:val="DefaultParagraphFont"/>
    <w:rsid w:val="00B93DCF"/>
    <w:rPr>
      <w:b/>
      <w:spacing w:val="0"/>
    </w:rPr>
  </w:style>
  <w:style w:type="paragraph" w:customStyle="1" w:styleId="SuperHeading">
    <w:name w:val="SuperHeading"/>
    <w:basedOn w:val="Normal"/>
    <w:rsid w:val="00B93DCF"/>
    <w:pPr>
      <w:spacing w:before="240" w:after="120"/>
      <w:outlineLvl w:val="0"/>
    </w:pPr>
    <w:rPr>
      <w:rFonts w:ascii="Times New Roman" w:hAnsi="Times New Roman"/>
      <w:b/>
      <w:sz w:val="32"/>
    </w:rPr>
  </w:style>
  <w:style w:type="paragraph" w:customStyle="1" w:styleId="AllowPageBreak">
    <w:name w:val="AllowPageBreak"/>
    <w:rsid w:val="00B93D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93DCF"/>
    <w:rPr>
      <w:rFonts w:ascii="Symbol" w:hAnsi="Symbol"/>
    </w:rPr>
  </w:style>
  <w:style w:type="character" w:customStyle="1" w:styleId="Heading2Char">
    <w:name w:val="Heading 2 Char"/>
    <w:basedOn w:val="DefaultParagraphFont"/>
    <w:link w:val="Heading2"/>
    <w:rsid w:val="00B93D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D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D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D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D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D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D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DCF"/>
    <w:rPr>
      <w:rFonts w:ascii="Courier New" w:eastAsia="Times New Roman" w:hAnsi="Courier New" w:cs="Times New Roman"/>
      <w:i/>
      <w:szCs w:val="20"/>
      <w:lang w:eastAsia="en-US"/>
    </w:rPr>
  </w:style>
  <w:style w:type="paragraph" w:customStyle="1" w:styleId="HeadingBase">
    <w:name w:val="Heading Base"/>
    <w:rsid w:val="00B93D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DCF"/>
    <w:pPr>
      <w:tabs>
        <w:tab w:val="right" w:leader="dot" w:pos="9072"/>
      </w:tabs>
      <w:ind w:left="567"/>
    </w:pPr>
    <w:rPr>
      <w:szCs w:val="22"/>
    </w:rPr>
  </w:style>
  <w:style w:type="paragraph" w:customStyle="1" w:styleId="TOCBase">
    <w:name w:val="TOC Base"/>
    <w:rsid w:val="00B93D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DCF"/>
    <w:pPr>
      <w:tabs>
        <w:tab w:val="right" w:leader="dot" w:pos="9072"/>
      </w:tabs>
      <w:spacing w:before="40" w:after="40"/>
      <w:ind w:left="284"/>
    </w:pPr>
    <w:rPr>
      <w:rFonts w:ascii="Times New Roman" w:hAnsi="Times New Roman"/>
    </w:rPr>
  </w:style>
  <w:style w:type="paragraph" w:styleId="TOC1">
    <w:name w:val="toc 1"/>
    <w:basedOn w:val="TOCBase"/>
    <w:next w:val="Normal"/>
    <w:rsid w:val="00B93D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D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DCF"/>
    <w:rPr>
      <w:rFonts w:ascii="Times New Roman" w:eastAsia="Times New Roman" w:hAnsi="Times New Roman" w:cs="Times New Roman"/>
      <w:sz w:val="16"/>
      <w:lang w:eastAsia="en-US"/>
    </w:rPr>
  </w:style>
  <w:style w:type="paragraph" w:styleId="Title">
    <w:name w:val="Title"/>
    <w:basedOn w:val="HeadingBase"/>
    <w:link w:val="TitleChar"/>
    <w:qFormat/>
    <w:rsid w:val="00B93DCF"/>
    <w:pPr>
      <w:spacing w:before="5040"/>
      <w:jc w:val="center"/>
    </w:pPr>
    <w:rPr>
      <w:sz w:val="48"/>
      <w:szCs w:val="72"/>
      <w:lang w:val="en-US"/>
    </w:rPr>
  </w:style>
  <w:style w:type="character" w:customStyle="1" w:styleId="TitleChar">
    <w:name w:val="Title Char"/>
    <w:basedOn w:val="DefaultParagraphFont"/>
    <w:link w:val="Title"/>
    <w:rsid w:val="00B93D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DCF"/>
    <w:pPr>
      <w:tabs>
        <w:tab w:val="left" w:pos="3600"/>
        <w:tab w:val="left" w:pos="3958"/>
      </w:tabs>
    </w:pPr>
  </w:style>
  <w:style w:type="paragraph" w:styleId="List">
    <w:name w:val="List"/>
    <w:basedOn w:val="BodyText"/>
    <w:next w:val="BodyText"/>
    <w:rsid w:val="00B93DCF"/>
    <w:pPr>
      <w:tabs>
        <w:tab w:val="left" w:pos="340"/>
      </w:tabs>
      <w:spacing w:before="60" w:after="60"/>
      <w:ind w:left="340" w:hanging="340"/>
    </w:pPr>
  </w:style>
  <w:style w:type="paragraph" w:customStyle="1" w:styleId="Note">
    <w:name w:val="Note"/>
    <w:basedOn w:val="BodyText"/>
    <w:rsid w:val="00B93D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DCF"/>
    <w:pPr>
      <w:framePr w:wrap="auto" w:hAnchor="text" w:y="6049"/>
    </w:pPr>
    <w:rPr>
      <w:color w:val="000000"/>
      <w:sz w:val="40"/>
    </w:rPr>
  </w:style>
  <w:style w:type="paragraph" w:customStyle="1" w:styleId="TOCTitle">
    <w:name w:val="TOCTitle"/>
    <w:basedOn w:val="Heading1"/>
    <w:rsid w:val="00B93DCF"/>
    <w:pPr>
      <w:spacing w:after="240"/>
      <w:jc w:val="center"/>
      <w:outlineLvl w:val="9"/>
    </w:pPr>
    <w:rPr>
      <w:caps/>
    </w:rPr>
  </w:style>
  <w:style w:type="paragraph" w:customStyle="1" w:styleId="Version">
    <w:name w:val="Version"/>
    <w:rsid w:val="00B93D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DCF"/>
    <w:pPr>
      <w:numPr>
        <w:numId w:val="13"/>
      </w:numPr>
      <w:tabs>
        <w:tab w:val="clear" w:pos="680"/>
      </w:tabs>
    </w:pPr>
  </w:style>
  <w:style w:type="paragraph" w:styleId="Index1">
    <w:name w:val="index 1"/>
    <w:basedOn w:val="Normal"/>
    <w:next w:val="Normal"/>
    <w:semiHidden/>
    <w:rsid w:val="00B93DCF"/>
    <w:pPr>
      <w:keepNext w:val="0"/>
      <w:tabs>
        <w:tab w:val="right" w:pos="4176"/>
      </w:tabs>
      <w:ind w:left="198" w:hanging="198"/>
    </w:pPr>
    <w:rPr>
      <w:rFonts w:ascii="Garamond" w:hAnsi="Garamond"/>
    </w:rPr>
  </w:style>
  <w:style w:type="paragraph" w:styleId="IndexHeading">
    <w:name w:val="index heading"/>
    <w:basedOn w:val="Normal"/>
    <w:next w:val="Index1"/>
    <w:semiHidden/>
    <w:rsid w:val="00B93DCF"/>
    <w:pPr>
      <w:spacing w:before="120" w:after="120"/>
    </w:pPr>
    <w:rPr>
      <w:rFonts w:ascii="Arial" w:hAnsi="Arial"/>
      <w:b/>
      <w:color w:val="918585"/>
      <w:sz w:val="24"/>
    </w:rPr>
  </w:style>
  <w:style w:type="paragraph" w:styleId="Header">
    <w:name w:val="header"/>
    <w:basedOn w:val="Normal"/>
    <w:link w:val="HeaderChar"/>
    <w:rsid w:val="00B93D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DCF"/>
    <w:rPr>
      <w:rFonts w:ascii="Times New Roman" w:eastAsia="Times New Roman" w:hAnsi="Times New Roman" w:cs="Times New Roman"/>
      <w:sz w:val="16"/>
      <w:szCs w:val="20"/>
      <w:lang w:val="en-GB" w:eastAsia="en-US"/>
    </w:rPr>
  </w:style>
  <w:style w:type="paragraph" w:customStyle="1" w:styleId="Chapter">
    <w:name w:val="Chapter"/>
    <w:basedOn w:val="Normal"/>
    <w:rsid w:val="00B93DCF"/>
    <w:pPr>
      <w:spacing w:before="240"/>
    </w:pPr>
    <w:rPr>
      <w:rFonts w:ascii="Times New Roman" w:hAnsi="Times New Roman"/>
      <w:smallCaps/>
      <w:spacing w:val="80"/>
      <w:sz w:val="28"/>
    </w:rPr>
  </w:style>
  <w:style w:type="paragraph" w:customStyle="1" w:styleId="InChapter">
    <w:name w:val="InChapter"/>
    <w:basedOn w:val="Heading3"/>
    <w:rsid w:val="00B93DCF"/>
    <w:pPr>
      <w:spacing w:after="240"/>
      <w:outlineLvl w:val="9"/>
    </w:pPr>
    <w:rPr>
      <w:noProof/>
    </w:rPr>
  </w:style>
  <w:style w:type="paragraph" w:styleId="Index2">
    <w:name w:val="index 2"/>
    <w:basedOn w:val="Normal"/>
    <w:next w:val="Normal"/>
    <w:semiHidden/>
    <w:rsid w:val="00B93DCF"/>
    <w:pPr>
      <w:tabs>
        <w:tab w:val="right" w:pos="4176"/>
      </w:tabs>
      <w:ind w:left="568" w:hanging="284"/>
    </w:pPr>
    <w:rPr>
      <w:rFonts w:ascii="Garamond" w:hAnsi="Garamond"/>
    </w:rPr>
  </w:style>
  <w:style w:type="paragraph" w:customStyle="1" w:styleId="Byline">
    <w:name w:val="Byline"/>
    <w:rsid w:val="00B93D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DCF"/>
    <w:pPr>
      <w:tabs>
        <w:tab w:val="clear" w:pos="3600"/>
        <w:tab w:val="clear" w:pos="3958"/>
      </w:tabs>
      <w:jc w:val="right"/>
    </w:pPr>
  </w:style>
  <w:style w:type="character" w:styleId="Emphasis">
    <w:name w:val="Emphasis"/>
    <w:basedOn w:val="DefaultParagraphFont"/>
    <w:qFormat/>
    <w:rsid w:val="00B93DCF"/>
    <w:rPr>
      <w:i/>
    </w:rPr>
  </w:style>
  <w:style w:type="paragraph" w:styleId="Caption">
    <w:name w:val="caption"/>
    <w:basedOn w:val="BodyText"/>
    <w:next w:val="Normal"/>
    <w:qFormat/>
    <w:rsid w:val="00B93DCF"/>
    <w:pPr>
      <w:framePr w:w="2268" w:hSpace="181" w:vSpace="181" w:wrap="around" w:vAnchor="text" w:hAnchor="page" w:x="1135" w:y="285" w:anchorLock="1"/>
    </w:pPr>
    <w:rPr>
      <w:i/>
    </w:rPr>
  </w:style>
  <w:style w:type="paragraph" w:customStyle="1" w:styleId="MiniTOCTitle">
    <w:name w:val="MiniTOCTitle"/>
    <w:basedOn w:val="Heading4"/>
    <w:rsid w:val="00B93DCF"/>
    <w:pPr>
      <w:spacing w:before="240"/>
      <w:outlineLvl w:val="9"/>
    </w:pPr>
    <w:rPr>
      <w:noProof/>
      <w:sz w:val="24"/>
    </w:rPr>
  </w:style>
  <w:style w:type="paragraph" w:customStyle="1" w:styleId="MiniTOCItem">
    <w:name w:val="MiniTOCItem"/>
    <w:basedOn w:val="ListBullet"/>
    <w:rsid w:val="00B93DCF"/>
    <w:pPr>
      <w:numPr>
        <w:numId w:val="0"/>
      </w:numPr>
      <w:tabs>
        <w:tab w:val="right" w:leader="dot" w:pos="6521"/>
      </w:tabs>
      <w:spacing w:before="0" w:after="0"/>
    </w:pPr>
  </w:style>
  <w:style w:type="paragraph" w:customStyle="1" w:styleId="TOFTitle">
    <w:name w:val="TOFTitle"/>
    <w:basedOn w:val="TOCTitle"/>
    <w:rsid w:val="00B93DCF"/>
  </w:style>
  <w:style w:type="paragraph" w:styleId="TableofFigures">
    <w:name w:val="table of figures"/>
    <w:basedOn w:val="Normal"/>
    <w:next w:val="Normal"/>
    <w:semiHidden/>
    <w:rsid w:val="00B93DCF"/>
    <w:pPr>
      <w:tabs>
        <w:tab w:val="right" w:leader="dot" w:pos="9072"/>
      </w:tabs>
      <w:ind w:left="970" w:hanging="403"/>
    </w:pPr>
    <w:rPr>
      <w:rFonts w:ascii="Times New Roman" w:hAnsi="Times New Roman"/>
      <w:b/>
    </w:rPr>
  </w:style>
  <w:style w:type="paragraph" w:styleId="ListNumber">
    <w:name w:val="List Number"/>
    <w:basedOn w:val="List"/>
    <w:rsid w:val="00B93DCF"/>
    <w:pPr>
      <w:numPr>
        <w:numId w:val="10"/>
      </w:numPr>
    </w:pPr>
  </w:style>
  <w:style w:type="character" w:customStyle="1" w:styleId="WingdingSymbols">
    <w:name w:val="Wingding Symbols"/>
    <w:rsid w:val="00B93DCF"/>
    <w:rPr>
      <w:rFonts w:ascii="Wingdings" w:hAnsi="Wingdings"/>
    </w:rPr>
  </w:style>
  <w:style w:type="paragraph" w:customStyle="1" w:styleId="TableHeading">
    <w:name w:val="Table Heading"/>
    <w:basedOn w:val="HeadingBase"/>
    <w:rsid w:val="00B93DCF"/>
    <w:pPr>
      <w:keepLines/>
      <w:pBdr>
        <w:bottom w:val="single" w:sz="6" w:space="1" w:color="918585"/>
      </w:pBdr>
      <w:spacing w:before="240"/>
    </w:pPr>
  </w:style>
  <w:style w:type="character" w:customStyle="1" w:styleId="HotSpot">
    <w:name w:val="HotSpot"/>
    <w:rsid w:val="00B93DCF"/>
    <w:rPr>
      <w:color w:val="0033CC"/>
      <w:u w:val="none"/>
    </w:rPr>
  </w:style>
  <w:style w:type="paragraph" w:customStyle="1" w:styleId="BodyTextRight">
    <w:name w:val="Body Text Right"/>
    <w:basedOn w:val="BodyText"/>
    <w:rsid w:val="00B93DCF"/>
    <w:pPr>
      <w:spacing w:before="0" w:after="0"/>
      <w:jc w:val="right"/>
    </w:pPr>
  </w:style>
  <w:style w:type="paragraph" w:styleId="Index3">
    <w:name w:val="index 3"/>
    <w:basedOn w:val="ListNumber2"/>
    <w:next w:val="Normal"/>
    <w:semiHidden/>
    <w:rsid w:val="00B93DCF"/>
    <w:pPr>
      <w:numPr>
        <w:numId w:val="0"/>
      </w:numPr>
      <w:tabs>
        <w:tab w:val="right" w:leader="dot" w:pos="4176"/>
      </w:tabs>
    </w:pPr>
  </w:style>
  <w:style w:type="paragraph" w:styleId="ListNumber2">
    <w:name w:val="List Number 2"/>
    <w:basedOn w:val="List2"/>
    <w:rsid w:val="00B93DCF"/>
    <w:pPr>
      <w:numPr>
        <w:numId w:val="9"/>
      </w:numPr>
      <w:tabs>
        <w:tab w:val="clear" w:pos="1060"/>
      </w:tabs>
    </w:pPr>
  </w:style>
  <w:style w:type="paragraph" w:customStyle="1" w:styleId="MarginNote">
    <w:name w:val="Margin Note"/>
    <w:basedOn w:val="BodyText"/>
    <w:rsid w:val="00B93D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D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D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DCF"/>
    <w:rPr>
      <w:sz w:val="32"/>
    </w:rPr>
  </w:style>
  <w:style w:type="paragraph" w:customStyle="1" w:styleId="HeadingProcedure">
    <w:name w:val="Heading Procedure"/>
    <w:basedOn w:val="HeadingBase"/>
    <w:next w:val="Normal"/>
    <w:rsid w:val="00B93DCF"/>
    <w:pPr>
      <w:tabs>
        <w:tab w:val="left" w:pos="0"/>
      </w:tabs>
      <w:spacing w:before="120" w:after="60"/>
    </w:pPr>
    <w:rPr>
      <w:i/>
      <w:color w:val="918585"/>
      <w:sz w:val="22"/>
    </w:rPr>
  </w:style>
  <w:style w:type="paragraph" w:customStyle="1" w:styleId="TableBodyText">
    <w:name w:val="Table Body Text"/>
    <w:basedOn w:val="BodyText"/>
    <w:rsid w:val="00B93DCF"/>
    <w:pPr>
      <w:spacing w:before="60" w:after="60"/>
    </w:pPr>
  </w:style>
  <w:style w:type="paragraph" w:styleId="ListContinue">
    <w:name w:val="List Continue"/>
    <w:basedOn w:val="List"/>
    <w:rsid w:val="00B93DCF"/>
    <w:pPr>
      <w:ind w:firstLine="0"/>
    </w:pPr>
  </w:style>
  <w:style w:type="paragraph" w:customStyle="1" w:styleId="ListNote">
    <w:name w:val="List Note"/>
    <w:basedOn w:val="List"/>
    <w:rsid w:val="00B93DCF"/>
    <w:pPr>
      <w:pBdr>
        <w:top w:val="single" w:sz="6" w:space="2" w:color="918585"/>
        <w:bottom w:val="single" w:sz="6" w:space="2" w:color="918585"/>
      </w:pBdr>
      <w:tabs>
        <w:tab w:val="left" w:pos="1021"/>
      </w:tabs>
      <w:ind w:firstLine="0"/>
    </w:pPr>
  </w:style>
  <w:style w:type="paragraph" w:customStyle="1" w:styleId="Warning">
    <w:name w:val="Warning"/>
    <w:basedOn w:val="BodyText"/>
    <w:rsid w:val="00B93DCF"/>
    <w:pPr>
      <w:shd w:val="clear" w:color="auto" w:fill="D9D9D9"/>
      <w:tabs>
        <w:tab w:val="left" w:pos="992"/>
      </w:tabs>
      <w:ind w:left="119" w:right="119"/>
    </w:pPr>
    <w:rPr>
      <w:sz w:val="20"/>
    </w:rPr>
  </w:style>
  <w:style w:type="paragraph" w:customStyle="1" w:styleId="MarginIcons">
    <w:name w:val="Margin Icons"/>
    <w:basedOn w:val="BodyText"/>
    <w:rsid w:val="00B93D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DCF"/>
    <w:rPr>
      <w:rFonts w:ascii="Courier New" w:hAnsi="Courier New"/>
    </w:rPr>
  </w:style>
  <w:style w:type="paragraph" w:customStyle="1" w:styleId="NoteBullet">
    <w:name w:val="Note Bullet"/>
    <w:basedOn w:val="Note"/>
    <w:rsid w:val="00B93DCF"/>
    <w:pPr>
      <w:tabs>
        <w:tab w:val="clear" w:pos="680"/>
      </w:tabs>
      <w:spacing w:before="60" w:after="60"/>
    </w:pPr>
  </w:style>
  <w:style w:type="paragraph" w:customStyle="1" w:styleId="SubHeading2">
    <w:name w:val="SubHeading2"/>
    <w:basedOn w:val="HeadingBase"/>
    <w:rsid w:val="00B93DCF"/>
    <w:pPr>
      <w:spacing w:before="240" w:after="60"/>
    </w:pPr>
    <w:rPr>
      <w:sz w:val="20"/>
    </w:rPr>
  </w:style>
  <w:style w:type="paragraph" w:customStyle="1" w:styleId="SubHeading1">
    <w:name w:val="SubHeading1"/>
    <w:basedOn w:val="HeadingBase"/>
    <w:rsid w:val="00B93DCF"/>
    <w:pPr>
      <w:spacing w:before="240" w:after="60"/>
    </w:pPr>
    <w:rPr>
      <w:color w:val="918585"/>
      <w:sz w:val="22"/>
    </w:rPr>
  </w:style>
  <w:style w:type="paragraph" w:customStyle="1" w:styleId="SideHeading">
    <w:name w:val="Side Heading"/>
    <w:basedOn w:val="HeadingBase"/>
    <w:rsid w:val="00B93D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DCF"/>
    <w:pPr>
      <w:tabs>
        <w:tab w:val="num" w:pos="360"/>
      </w:tabs>
    </w:pPr>
  </w:style>
  <w:style w:type="paragraph" w:styleId="PlainText">
    <w:name w:val="Plain Text"/>
    <w:basedOn w:val="Normal"/>
    <w:link w:val="PlainTextChar"/>
    <w:rsid w:val="00B93DCF"/>
    <w:rPr>
      <w:sz w:val="20"/>
    </w:rPr>
  </w:style>
  <w:style w:type="character" w:customStyle="1" w:styleId="PlainTextChar">
    <w:name w:val="Plain Text Char"/>
    <w:basedOn w:val="DefaultParagraphFont"/>
    <w:link w:val="PlainText"/>
    <w:rsid w:val="00B93DCF"/>
    <w:rPr>
      <w:rFonts w:ascii="Courier New" w:eastAsia="Times New Roman" w:hAnsi="Courier New" w:cs="Times New Roman"/>
      <w:sz w:val="20"/>
      <w:szCs w:val="20"/>
      <w:lang w:eastAsia="en-US"/>
    </w:rPr>
  </w:style>
  <w:style w:type="character" w:customStyle="1" w:styleId="MenuOption">
    <w:name w:val="Menu Option"/>
    <w:basedOn w:val="DefaultParagraphFont"/>
    <w:rsid w:val="00B93DCF"/>
    <w:rPr>
      <w:b/>
      <w:smallCaps/>
    </w:rPr>
  </w:style>
  <w:style w:type="paragraph" w:customStyle="1" w:styleId="TableListNumber">
    <w:name w:val="Table List Number"/>
    <w:basedOn w:val="ListNumber"/>
    <w:rsid w:val="00B93DCF"/>
    <w:pPr>
      <w:numPr>
        <w:numId w:val="0"/>
      </w:numPr>
    </w:pPr>
  </w:style>
  <w:style w:type="paragraph" w:styleId="TOC4">
    <w:name w:val="toc 4"/>
    <w:basedOn w:val="TOCBase"/>
    <w:next w:val="Normal"/>
    <w:semiHidden/>
    <w:rsid w:val="00B93DCF"/>
    <w:pPr>
      <w:tabs>
        <w:tab w:val="right" w:leader="dot" w:pos="9071"/>
      </w:tabs>
      <w:ind w:left="1701"/>
    </w:pPr>
  </w:style>
  <w:style w:type="paragraph" w:customStyle="1" w:styleId="ListAlpha">
    <w:name w:val="List Alpha"/>
    <w:basedOn w:val="List"/>
    <w:rsid w:val="00B93DCF"/>
    <w:pPr>
      <w:numPr>
        <w:numId w:val="8"/>
      </w:numPr>
    </w:pPr>
  </w:style>
  <w:style w:type="paragraph" w:customStyle="1" w:styleId="ListAlpha2">
    <w:name w:val="List Alpha 2"/>
    <w:basedOn w:val="List2"/>
    <w:rsid w:val="00B93DCF"/>
    <w:pPr>
      <w:numPr>
        <w:numId w:val="7"/>
      </w:numPr>
    </w:pPr>
  </w:style>
  <w:style w:type="paragraph" w:styleId="List2">
    <w:name w:val="List 2"/>
    <w:basedOn w:val="BodyText"/>
    <w:rsid w:val="00B93DCF"/>
    <w:pPr>
      <w:tabs>
        <w:tab w:val="left" w:pos="680"/>
      </w:tabs>
      <w:spacing w:before="60" w:after="60"/>
      <w:ind w:left="680" w:hanging="340"/>
    </w:pPr>
  </w:style>
  <w:style w:type="paragraph" w:styleId="List3">
    <w:name w:val="List 3"/>
    <w:basedOn w:val="BodyText"/>
    <w:rsid w:val="00B93DCF"/>
    <w:pPr>
      <w:tabs>
        <w:tab w:val="left" w:pos="1021"/>
      </w:tabs>
      <w:spacing w:before="60" w:after="60"/>
      <w:ind w:left="1020" w:hanging="340"/>
    </w:pPr>
  </w:style>
  <w:style w:type="paragraph" w:styleId="List4">
    <w:name w:val="List 4"/>
    <w:basedOn w:val="BodyText"/>
    <w:rsid w:val="00B93DCF"/>
    <w:pPr>
      <w:tabs>
        <w:tab w:val="left" w:pos="1361"/>
      </w:tabs>
      <w:spacing w:before="60" w:after="60"/>
      <w:ind w:left="1361" w:hanging="340"/>
    </w:pPr>
  </w:style>
  <w:style w:type="paragraph" w:styleId="List5">
    <w:name w:val="List 5"/>
    <w:basedOn w:val="BodyText"/>
    <w:rsid w:val="00B93DCF"/>
    <w:pPr>
      <w:tabs>
        <w:tab w:val="left" w:pos="1701"/>
      </w:tabs>
      <w:spacing w:before="60" w:after="60"/>
      <w:ind w:left="1701" w:hanging="340"/>
    </w:pPr>
  </w:style>
  <w:style w:type="paragraph" w:styleId="ListBullet3">
    <w:name w:val="List Bullet 3"/>
    <w:basedOn w:val="List3"/>
    <w:rsid w:val="00B93DCF"/>
    <w:pPr>
      <w:numPr>
        <w:numId w:val="14"/>
      </w:numPr>
      <w:tabs>
        <w:tab w:val="clear" w:pos="1021"/>
      </w:tabs>
      <w:ind w:left="1037" w:hanging="357"/>
    </w:pPr>
  </w:style>
  <w:style w:type="paragraph" w:styleId="ListBullet4">
    <w:name w:val="List Bullet 4"/>
    <w:basedOn w:val="List4"/>
    <w:rsid w:val="00B93DCF"/>
    <w:pPr>
      <w:numPr>
        <w:numId w:val="2"/>
      </w:numPr>
      <w:tabs>
        <w:tab w:val="clear" w:pos="1361"/>
      </w:tabs>
    </w:pPr>
  </w:style>
  <w:style w:type="paragraph" w:styleId="ListBullet5">
    <w:name w:val="List Bullet 5"/>
    <w:basedOn w:val="List5"/>
    <w:rsid w:val="00B93DCF"/>
    <w:pPr>
      <w:numPr>
        <w:numId w:val="3"/>
      </w:numPr>
    </w:pPr>
  </w:style>
  <w:style w:type="paragraph" w:styleId="ListContinue2">
    <w:name w:val="List Continue 2"/>
    <w:basedOn w:val="List2"/>
    <w:rsid w:val="00B93DCF"/>
    <w:pPr>
      <w:ind w:firstLine="0"/>
    </w:pPr>
  </w:style>
  <w:style w:type="paragraph" w:styleId="ListContinue3">
    <w:name w:val="List Continue 3"/>
    <w:basedOn w:val="List3"/>
    <w:rsid w:val="00B93DCF"/>
    <w:pPr>
      <w:ind w:left="1021" w:firstLine="0"/>
    </w:pPr>
  </w:style>
  <w:style w:type="paragraph" w:styleId="ListContinue4">
    <w:name w:val="List Continue 4"/>
    <w:basedOn w:val="List4"/>
    <w:rsid w:val="00B93DCF"/>
    <w:pPr>
      <w:ind w:firstLine="0"/>
    </w:pPr>
  </w:style>
  <w:style w:type="paragraph" w:styleId="ListContinue5">
    <w:name w:val="List Continue 5"/>
    <w:basedOn w:val="List5"/>
    <w:rsid w:val="00B93DCF"/>
    <w:pPr>
      <w:ind w:firstLine="0"/>
    </w:pPr>
  </w:style>
  <w:style w:type="paragraph" w:styleId="ListNumber3">
    <w:name w:val="List Number 3"/>
    <w:basedOn w:val="List3"/>
    <w:rsid w:val="00B93DCF"/>
    <w:pPr>
      <w:numPr>
        <w:numId w:val="4"/>
      </w:numPr>
    </w:pPr>
  </w:style>
  <w:style w:type="paragraph" w:styleId="ListNumber4">
    <w:name w:val="List Number 4"/>
    <w:basedOn w:val="List4"/>
    <w:rsid w:val="00B93DCF"/>
    <w:pPr>
      <w:numPr>
        <w:numId w:val="5"/>
      </w:numPr>
    </w:pPr>
  </w:style>
  <w:style w:type="paragraph" w:styleId="ListNumber5">
    <w:name w:val="List Number 5"/>
    <w:basedOn w:val="List5"/>
    <w:rsid w:val="00B93DCF"/>
    <w:pPr>
      <w:numPr>
        <w:numId w:val="6"/>
      </w:numPr>
    </w:pPr>
  </w:style>
  <w:style w:type="paragraph" w:styleId="BlockText">
    <w:name w:val="Block Text"/>
    <w:basedOn w:val="Normal"/>
    <w:rsid w:val="00B93DCF"/>
    <w:pPr>
      <w:spacing w:after="120"/>
      <w:ind w:left="1440" w:right="1440"/>
    </w:pPr>
  </w:style>
  <w:style w:type="character" w:customStyle="1" w:styleId="Subscript">
    <w:name w:val="Subscript"/>
    <w:basedOn w:val="DefaultParagraphFont"/>
    <w:rsid w:val="00B93DCF"/>
    <w:rPr>
      <w:sz w:val="16"/>
      <w:vertAlign w:val="subscript"/>
    </w:rPr>
  </w:style>
  <w:style w:type="character" w:customStyle="1" w:styleId="Superscript">
    <w:name w:val="Superscript"/>
    <w:basedOn w:val="DefaultParagraphFont"/>
    <w:rsid w:val="00B93DCF"/>
    <w:rPr>
      <w:sz w:val="16"/>
      <w:vertAlign w:val="superscript"/>
    </w:rPr>
  </w:style>
  <w:style w:type="character" w:customStyle="1" w:styleId="MenuOptions">
    <w:name w:val="Menu Options"/>
    <w:basedOn w:val="DefaultParagraphFont"/>
    <w:rsid w:val="00B93DCF"/>
    <w:rPr>
      <w:rFonts w:ascii="Arial Narrow" w:hAnsi="Arial Narrow"/>
      <w:smallCaps/>
    </w:rPr>
  </w:style>
  <w:style w:type="character" w:customStyle="1" w:styleId="Buttons">
    <w:name w:val="Buttons"/>
    <w:basedOn w:val="DefaultParagraphFont"/>
    <w:rsid w:val="00B93DCF"/>
    <w:rPr>
      <w:b/>
    </w:rPr>
  </w:style>
  <w:style w:type="character" w:customStyle="1" w:styleId="Underlined">
    <w:name w:val="Underlined"/>
    <w:basedOn w:val="DefaultParagraphFont"/>
    <w:rsid w:val="00B93DCF"/>
    <w:rPr>
      <w:u w:val="single"/>
    </w:rPr>
  </w:style>
  <w:style w:type="paragraph" w:customStyle="1" w:styleId="TableBodyTextRight">
    <w:name w:val="Table Body Text Right"/>
    <w:basedOn w:val="TableBodyText"/>
    <w:rsid w:val="00B93DCF"/>
    <w:pPr>
      <w:widowControl w:val="0"/>
      <w:autoSpaceDE w:val="0"/>
      <w:autoSpaceDN w:val="0"/>
      <w:adjustRightInd w:val="0"/>
      <w:jc w:val="right"/>
    </w:pPr>
    <w:rPr>
      <w:rFonts w:cs="Arial"/>
      <w:szCs w:val="18"/>
    </w:rPr>
  </w:style>
  <w:style w:type="paragraph" w:customStyle="1" w:styleId="CopyrightText">
    <w:name w:val="Copyright Text"/>
    <w:basedOn w:val="BodyText"/>
    <w:rsid w:val="00B93DCF"/>
    <w:rPr>
      <w:sz w:val="18"/>
    </w:rPr>
  </w:style>
  <w:style w:type="paragraph" w:customStyle="1" w:styleId="BodySmallRight">
    <w:name w:val="Body Small Right"/>
    <w:basedOn w:val="BodyTextRight"/>
    <w:rsid w:val="00B93DCF"/>
    <w:rPr>
      <w:sz w:val="18"/>
      <w:szCs w:val="18"/>
    </w:rPr>
  </w:style>
  <w:style w:type="paragraph" w:customStyle="1" w:styleId="MarginEdition">
    <w:name w:val="Margin Edition"/>
    <w:basedOn w:val="MarginNote"/>
    <w:rsid w:val="00B93DCF"/>
    <w:pPr>
      <w:spacing w:before="0" w:after="0"/>
    </w:pPr>
    <w:rPr>
      <w:rFonts w:ascii="Times New Roman" w:hAnsi="Times New Roman"/>
      <w:color w:val="999999"/>
    </w:rPr>
  </w:style>
  <w:style w:type="paragraph" w:customStyle="1" w:styleId="Spacer">
    <w:name w:val="Spacer"/>
    <w:basedOn w:val="Normal"/>
    <w:rsid w:val="00B93DCF"/>
    <w:rPr>
      <w:sz w:val="2"/>
      <w:szCs w:val="2"/>
    </w:rPr>
  </w:style>
  <w:style w:type="character" w:customStyle="1" w:styleId="Small">
    <w:name w:val="Small"/>
    <w:basedOn w:val="DefaultParagraphFont"/>
    <w:rsid w:val="00B93DCF"/>
    <w:rPr>
      <w:sz w:val="16"/>
    </w:rPr>
  </w:style>
  <w:style w:type="paragraph" w:customStyle="1" w:styleId="WideTable">
    <w:name w:val="Wide Table"/>
    <w:basedOn w:val="Normal"/>
    <w:rsid w:val="00B93DCF"/>
    <w:pPr>
      <w:ind w:left="-1418"/>
    </w:pPr>
    <w:rPr>
      <w:sz w:val="2"/>
      <w:szCs w:val="2"/>
    </w:rPr>
  </w:style>
  <w:style w:type="character" w:styleId="PageNumber">
    <w:name w:val="page number"/>
    <w:basedOn w:val="DefaultParagraphFont"/>
    <w:rsid w:val="00B93DCF"/>
  </w:style>
  <w:style w:type="paragraph" w:styleId="Quote">
    <w:name w:val="Quote"/>
    <w:basedOn w:val="Heading1"/>
    <w:link w:val="QuoteChar"/>
    <w:qFormat/>
    <w:rsid w:val="00B93DCF"/>
    <w:rPr>
      <w:b w:val="0"/>
      <w:sz w:val="72"/>
      <w:szCs w:val="72"/>
      <w:lang w:val="en-NZ"/>
    </w:rPr>
  </w:style>
  <w:style w:type="character" w:customStyle="1" w:styleId="QuoteChar">
    <w:name w:val="Quote Char"/>
    <w:basedOn w:val="DefaultParagraphFont"/>
    <w:link w:val="Quote"/>
    <w:rsid w:val="00B93D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DCF"/>
    <w:pPr>
      <w:pageBreakBefore/>
    </w:pPr>
  </w:style>
  <w:style w:type="paragraph" w:customStyle="1" w:styleId="Border">
    <w:name w:val="Border"/>
    <w:basedOn w:val="Normal"/>
    <w:qFormat/>
    <w:rsid w:val="00B93D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DCF"/>
    <w:rPr>
      <w:b/>
      <w:bCs/>
      <w:i/>
      <w:iCs/>
      <w:color w:val="auto"/>
    </w:rPr>
  </w:style>
  <w:style w:type="paragraph" w:styleId="IntenseQuote">
    <w:name w:val="Intense Quote"/>
    <w:basedOn w:val="Normal"/>
    <w:next w:val="Normal"/>
    <w:link w:val="IntenseQuoteChar"/>
    <w:uiPriority w:val="30"/>
    <w:qFormat/>
    <w:rsid w:val="00B93D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D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DCF"/>
    <w:rPr>
      <w:smallCaps/>
      <w:color w:val="auto"/>
      <w:u w:val="single"/>
    </w:rPr>
  </w:style>
  <w:style w:type="character" w:styleId="IntenseReference">
    <w:name w:val="Intense Reference"/>
    <w:basedOn w:val="DefaultParagraphFont"/>
    <w:uiPriority w:val="32"/>
    <w:qFormat/>
    <w:rsid w:val="00B93DCF"/>
    <w:rPr>
      <w:b/>
      <w:bCs/>
      <w:smallCaps/>
      <w:color w:val="auto"/>
      <w:spacing w:val="5"/>
      <w:u w:val="single"/>
    </w:rPr>
  </w:style>
  <w:style w:type="paragraph" w:customStyle="1" w:styleId="2ColumnHeading">
    <w:name w:val="2Column Heading"/>
    <w:basedOn w:val="BodyText"/>
    <w:qFormat/>
    <w:rsid w:val="00B93DCF"/>
    <w:pPr>
      <w:spacing w:after="60"/>
      <w:ind w:left="-2268"/>
    </w:pPr>
    <w:rPr>
      <w:b/>
    </w:rPr>
  </w:style>
  <w:style w:type="paragraph" w:customStyle="1" w:styleId="Heading1TOC">
    <w:name w:val="Heading1 TOC"/>
    <w:basedOn w:val="Normal"/>
    <w:qFormat/>
    <w:rsid w:val="00B93DCF"/>
    <w:pPr>
      <w:spacing w:before="240" w:after="120"/>
    </w:pPr>
    <w:rPr>
      <w:rFonts w:ascii="Times New Roman" w:hAnsi="Times New Roman"/>
      <w:b/>
      <w:sz w:val="32"/>
    </w:rPr>
  </w:style>
  <w:style w:type="paragraph" w:customStyle="1" w:styleId="Heading2TOC">
    <w:name w:val="Heading2 TOC"/>
    <w:basedOn w:val="Normal"/>
    <w:qFormat/>
    <w:rsid w:val="00B93DCF"/>
    <w:pPr>
      <w:spacing w:before="240" w:after="60"/>
    </w:pPr>
    <w:rPr>
      <w:rFonts w:ascii="Times New Roman" w:hAnsi="Times New Roman"/>
      <w:b/>
      <w:sz w:val="28"/>
    </w:rPr>
  </w:style>
  <w:style w:type="character" w:customStyle="1" w:styleId="Underline">
    <w:name w:val="Underline"/>
    <w:basedOn w:val="DefaultParagraphFont"/>
    <w:qFormat/>
    <w:rsid w:val="00B93DCF"/>
    <w:rPr>
      <w:u w:val="single"/>
    </w:rPr>
  </w:style>
  <w:style w:type="character" w:customStyle="1" w:styleId="BoldandItalics">
    <w:name w:val="Bold and Italics"/>
    <w:qFormat/>
    <w:rsid w:val="00B93DCF"/>
    <w:rPr>
      <w:b/>
      <w:i/>
      <w:u w:val="none"/>
    </w:rPr>
  </w:style>
  <w:style w:type="paragraph" w:styleId="BalloonText">
    <w:name w:val="Balloon Text"/>
    <w:basedOn w:val="Normal"/>
    <w:link w:val="BalloonTextChar"/>
    <w:rsid w:val="00B93DCF"/>
    <w:rPr>
      <w:rFonts w:ascii="Tahoma" w:hAnsi="Tahoma" w:cs="Tahoma"/>
      <w:sz w:val="16"/>
      <w:szCs w:val="16"/>
    </w:rPr>
  </w:style>
  <w:style w:type="character" w:customStyle="1" w:styleId="BalloonTextChar">
    <w:name w:val="Balloon Text Char"/>
    <w:basedOn w:val="DefaultParagraphFont"/>
    <w:link w:val="BalloonText"/>
    <w:rsid w:val="00B93D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D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D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DCF"/>
    <w:rPr>
      <w:b/>
      <w:color w:val="660033"/>
      <w:spacing w:val="0"/>
    </w:rPr>
  </w:style>
  <w:style w:type="paragraph" w:customStyle="1" w:styleId="Nameditemlist">
    <w:name w:val="Named item list"/>
    <w:basedOn w:val="BodyText"/>
    <w:qFormat/>
    <w:rsid w:val="00B93DCF"/>
    <w:pPr>
      <w:tabs>
        <w:tab w:val="left" w:pos="2835"/>
      </w:tabs>
      <w:ind w:left="2835" w:hanging="2835"/>
    </w:pPr>
  </w:style>
  <w:style w:type="paragraph" w:customStyle="1" w:styleId="BodyTextnopadding">
    <w:name w:val="Body Text no padding"/>
    <w:basedOn w:val="BodyText"/>
    <w:qFormat/>
    <w:rsid w:val="00B93DC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1007</Words>
  <Characters>6446</Characters>
  <Application>Microsoft Office Word</Application>
  <DocSecurity>0</DocSecurity>
  <Lines>260</Lines>
  <Paragraphs>116</Paragraphs>
  <ScaleCrop>false</ScaleCrop>
  <Company>Author-it Software Corporation Ltd.</Company>
  <LinksUpToDate>false</LinksUpToDate>
  <CharactersWithSpaces>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MSL953001 Receive and prepare samples for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2018-02-01T00:07:00Z</dcterms:created>
  <dcterms:modified xsi:type="dcterms:W3CDTF">2018-02-01T00:07:00Z</dcterms:modified>
</cp:coreProperties>
</file>